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445F" w14:textId="61631A53" w:rsidR="004D4C7F" w:rsidRDefault="004D4C7F" w:rsidP="0BCD9809">
      <w:pPr>
        <w:jc w:val="center"/>
        <w:rPr>
          <w:b/>
          <w:bCs/>
          <w:sz w:val="28"/>
          <w:szCs w:val="28"/>
          <w:u w:val="single"/>
        </w:rPr>
      </w:pPr>
      <w:r w:rsidRPr="0BCD9809">
        <w:rPr>
          <w:b/>
          <w:bCs/>
          <w:sz w:val="28"/>
          <w:szCs w:val="28"/>
          <w:u w:val="single"/>
        </w:rPr>
        <w:t>Briefing paper- Council Tax Reduction (CTR) Scheme</w:t>
      </w:r>
      <w:r w:rsidR="37FA5657" w:rsidRPr="0BCD9809">
        <w:rPr>
          <w:b/>
          <w:bCs/>
          <w:sz w:val="28"/>
          <w:szCs w:val="28"/>
          <w:u w:val="single"/>
        </w:rPr>
        <w:t xml:space="preserve"> 2025/26</w:t>
      </w:r>
    </w:p>
    <w:p w14:paraId="2C78AF14" w14:textId="77777777" w:rsidR="004D4C7F" w:rsidRDefault="004D4C7F" w:rsidP="0BCD9809">
      <w:pPr>
        <w:jc w:val="both"/>
        <w:rPr>
          <w:b/>
          <w:bCs/>
          <w:sz w:val="28"/>
          <w:szCs w:val="28"/>
        </w:rPr>
      </w:pPr>
    </w:p>
    <w:p w14:paraId="6978AA79" w14:textId="783275EB" w:rsidR="004D4C7F" w:rsidRDefault="004D4C7F" w:rsidP="0BCD9809">
      <w:pPr>
        <w:jc w:val="both"/>
      </w:pPr>
      <w:r w:rsidRPr="0BCD9809">
        <w:rPr>
          <w:b/>
          <w:bCs/>
        </w:rPr>
        <w:t xml:space="preserve">From </w:t>
      </w:r>
      <w:r>
        <w:tab/>
      </w:r>
      <w:r>
        <w:tab/>
      </w:r>
      <w:r w:rsidR="540B6241" w:rsidRPr="0BCD9809">
        <w:t>Nigel Kennedy</w:t>
      </w:r>
    </w:p>
    <w:p w14:paraId="2CE15F71" w14:textId="01587F2B" w:rsidR="004D4C7F" w:rsidRDefault="7EDF9FA1" w:rsidP="0BCD9809">
      <w:pPr>
        <w:ind w:left="720" w:firstLine="720"/>
        <w:jc w:val="both"/>
      </w:pPr>
      <w:r w:rsidRPr="0BCD9809">
        <w:t>H</w:t>
      </w:r>
      <w:r w:rsidR="004D4C7F" w:rsidRPr="0BCD9809">
        <w:t>ead of Financial Services</w:t>
      </w:r>
      <w:r w:rsidR="5DADE15F" w:rsidRPr="0BCD9809">
        <w:t>/</w:t>
      </w:r>
      <w:r w:rsidR="5042D617" w:rsidRPr="0BCD9809">
        <w:t>Section 151 Officer</w:t>
      </w:r>
    </w:p>
    <w:p w14:paraId="5D174F56" w14:textId="77777777" w:rsidR="004D4C7F" w:rsidRDefault="004D4C7F" w:rsidP="0BCD9809">
      <w:pPr>
        <w:jc w:val="both"/>
        <w:rPr>
          <w:b/>
          <w:bCs/>
        </w:rPr>
      </w:pPr>
    </w:p>
    <w:p w14:paraId="3DEE0CF0" w14:textId="69EB4085" w:rsidR="004D4C7F" w:rsidRDefault="004D4C7F" w:rsidP="0BCD9809">
      <w:pPr>
        <w:jc w:val="both"/>
      </w:pPr>
      <w:r w:rsidRPr="0BCD9809">
        <w:rPr>
          <w:b/>
          <w:bCs/>
        </w:rPr>
        <w:t>Author</w:t>
      </w:r>
      <w:r>
        <w:tab/>
      </w:r>
      <w:r w:rsidR="43F6CDA3" w:rsidRPr="0BCD9809">
        <w:t xml:space="preserve">Laura </w:t>
      </w:r>
      <w:proofErr w:type="spellStart"/>
      <w:r w:rsidR="43F6CDA3" w:rsidRPr="0BCD9809">
        <w:t>Bessell</w:t>
      </w:r>
      <w:proofErr w:type="spellEnd"/>
    </w:p>
    <w:p w14:paraId="624B758D" w14:textId="1478B0E6" w:rsidR="004D4C7F" w:rsidRDefault="5BD446B3" w:rsidP="0BCD9809">
      <w:pPr>
        <w:ind w:left="720" w:firstLine="720"/>
        <w:jc w:val="both"/>
      </w:pPr>
      <w:r w:rsidRPr="0BCD9809">
        <w:t>Local Tax &amp; Benefit Service Delivery</w:t>
      </w:r>
      <w:r w:rsidR="5B666599" w:rsidRPr="0BCD9809">
        <w:t xml:space="preserve"> Manager</w:t>
      </w:r>
      <w:r w:rsidRPr="0BCD9809">
        <w:t xml:space="preserve"> </w:t>
      </w:r>
    </w:p>
    <w:p w14:paraId="03E97DDD" w14:textId="77777777" w:rsidR="004D4C7F" w:rsidRDefault="004D4C7F" w:rsidP="0BCD9809">
      <w:pPr>
        <w:jc w:val="both"/>
        <w:rPr>
          <w:b/>
          <w:bCs/>
        </w:rPr>
      </w:pPr>
    </w:p>
    <w:p w14:paraId="2F8E4062" w14:textId="75652463" w:rsidR="004D4C7F" w:rsidRDefault="000F1529" w:rsidP="0BCD9809">
      <w:pPr>
        <w:jc w:val="both"/>
        <w:rPr>
          <w:b/>
          <w:bCs/>
          <w:sz w:val="22"/>
          <w:szCs w:val="22"/>
        </w:rPr>
      </w:pPr>
      <w:r w:rsidRPr="0BCD9809">
        <w:rPr>
          <w:b/>
          <w:bCs/>
        </w:rPr>
        <w:t>Date</w:t>
      </w:r>
      <w:r>
        <w:tab/>
      </w:r>
      <w:r>
        <w:tab/>
      </w:r>
      <w:r w:rsidR="0DBBC361" w:rsidRPr="0BCD9809">
        <w:t>17</w:t>
      </w:r>
      <w:r w:rsidR="0DBBC361" w:rsidRPr="0BCD9809">
        <w:rPr>
          <w:vertAlign w:val="superscript"/>
        </w:rPr>
        <w:t>th</w:t>
      </w:r>
      <w:r w:rsidR="0DBBC361" w:rsidRPr="0BCD9809">
        <w:t xml:space="preserve"> December 2024</w:t>
      </w:r>
    </w:p>
    <w:p w14:paraId="3A0FB770" w14:textId="14B2983C" w:rsidR="5E220651" w:rsidRDefault="5E220651" w:rsidP="0BCD9809">
      <w:pPr>
        <w:jc w:val="both"/>
        <w:rPr>
          <w:b/>
          <w:bCs/>
          <w:sz w:val="28"/>
          <w:szCs w:val="28"/>
        </w:rPr>
      </w:pPr>
      <w:r w:rsidRPr="0BCD9809">
        <w:rPr>
          <w:b/>
          <w:bCs/>
          <w:sz w:val="28"/>
          <w:szCs w:val="28"/>
        </w:rPr>
        <w:t>_________________________________________________________________________________________</w:t>
      </w:r>
    </w:p>
    <w:p w14:paraId="7F48B2CF" w14:textId="77777777" w:rsidR="004D4C7F" w:rsidRDefault="004D4C7F" w:rsidP="7A7864CB">
      <w:pPr>
        <w:jc w:val="both"/>
      </w:pPr>
    </w:p>
    <w:p w14:paraId="2300ACC8" w14:textId="77777777" w:rsidR="004D4C7F" w:rsidRPr="007F5753" w:rsidRDefault="004D4C7F" w:rsidP="7A7864CB">
      <w:pPr>
        <w:pStyle w:val="ListParagraph"/>
        <w:numPr>
          <w:ilvl w:val="0"/>
          <w:numId w:val="30"/>
        </w:numPr>
        <w:jc w:val="both"/>
        <w:rPr>
          <w:b/>
          <w:bCs/>
        </w:rPr>
      </w:pPr>
      <w:r w:rsidRPr="7A7864CB">
        <w:rPr>
          <w:b/>
          <w:bCs/>
        </w:rPr>
        <w:t xml:space="preserve">Background </w:t>
      </w:r>
    </w:p>
    <w:p w14:paraId="6BF1389D" w14:textId="77777777" w:rsidR="004D4C7F" w:rsidRDefault="004D4C7F" w:rsidP="7A7864CB">
      <w:pPr>
        <w:jc w:val="both"/>
        <w:rPr>
          <w:b/>
          <w:bCs/>
        </w:rPr>
      </w:pPr>
    </w:p>
    <w:p w14:paraId="2015D593" w14:textId="5481ACE0" w:rsidR="000F1529" w:rsidRDefault="004D4C7F" w:rsidP="32F96943">
      <w:pPr>
        <w:ind w:left="720"/>
        <w:jc w:val="both"/>
      </w:pPr>
      <w:r>
        <w:t xml:space="preserve">The Council has </w:t>
      </w:r>
      <w:r w:rsidR="044833DF">
        <w:t>several</w:t>
      </w:r>
      <w:r>
        <w:t xml:space="preserve"> challenging financial pressures which are impacting on its ability to balance the next iteration of the </w:t>
      </w:r>
      <w:r w:rsidR="6C2539FA">
        <w:t>4-year</w:t>
      </w:r>
      <w:r>
        <w:t xml:space="preserve"> General Fund Medium Term Financial Plan. </w:t>
      </w:r>
    </w:p>
    <w:p w14:paraId="00AF29AB" w14:textId="77777777" w:rsidR="000F1529" w:rsidRDefault="000F1529" w:rsidP="32F96943">
      <w:pPr>
        <w:ind w:left="720"/>
        <w:jc w:val="both"/>
      </w:pPr>
    </w:p>
    <w:p w14:paraId="091EE632" w14:textId="1FC827E6" w:rsidR="004D4C7F" w:rsidRDefault="004D4C7F" w:rsidP="32F96943">
      <w:pPr>
        <w:ind w:left="720"/>
        <w:jc w:val="both"/>
      </w:pPr>
      <w:r>
        <w:t xml:space="preserve">One mitigation that the Council could look at is to make changes in the </w:t>
      </w:r>
      <w:r w:rsidR="4C8798F4">
        <w:t xml:space="preserve">income </w:t>
      </w:r>
      <w:r>
        <w:t xml:space="preserve">parameters applied to the Councils Council Tax Reduction Scheme </w:t>
      </w:r>
      <w:r w:rsidR="5B9811D5">
        <w:t xml:space="preserve">(CTRS) </w:t>
      </w:r>
      <w:r>
        <w:t xml:space="preserve">which would have the effect of reducing the discount applied to the council tax charge and hence increase council tax income. </w:t>
      </w:r>
    </w:p>
    <w:p w14:paraId="1B61A96B" w14:textId="09FADC76" w:rsidR="004D4C7F" w:rsidRDefault="004D4C7F" w:rsidP="32F96943">
      <w:pPr>
        <w:ind w:left="720"/>
        <w:jc w:val="both"/>
      </w:pPr>
    </w:p>
    <w:p w14:paraId="26EA955E" w14:textId="4C83913C" w:rsidR="004D4C7F" w:rsidRDefault="004D4C7F" w:rsidP="32F96943">
      <w:pPr>
        <w:ind w:left="720"/>
        <w:jc w:val="both"/>
      </w:pPr>
      <w:bookmarkStart w:id="0" w:name="_Hlk188347743"/>
      <w:r>
        <w:t>The current</w:t>
      </w:r>
      <w:r w:rsidR="2FFE5900">
        <w:t xml:space="preserve"> working age (</w:t>
      </w:r>
      <w:bookmarkStart w:id="1" w:name="_Int_JVML8rdv"/>
      <w:proofErr w:type="gramStart"/>
      <w:r w:rsidR="2FFE5900">
        <w:t>18-67 year old</w:t>
      </w:r>
      <w:bookmarkEnd w:id="1"/>
      <w:proofErr w:type="gramEnd"/>
      <w:r w:rsidR="2FFE5900">
        <w:t>)</w:t>
      </w:r>
      <w:r>
        <w:t xml:space="preserve"> CTR Scheme allows for</w:t>
      </w:r>
      <w:r w:rsidR="4F3120C2">
        <w:t xml:space="preserve"> a percentage discount to be applied against the council tax charge.  The </w:t>
      </w:r>
      <w:r>
        <w:t>discount</w:t>
      </w:r>
      <w:r w:rsidR="18640152">
        <w:t xml:space="preserve"> applied is based upon specific </w:t>
      </w:r>
      <w:r w:rsidR="571C9D65">
        <w:t xml:space="preserve">‘earned’ </w:t>
      </w:r>
      <w:r w:rsidR="18640152">
        <w:t xml:space="preserve">income </w:t>
      </w:r>
      <w:r w:rsidR="28F8CB92">
        <w:t xml:space="preserve">and savings </w:t>
      </w:r>
      <w:r w:rsidR="3D86E478">
        <w:t>that the claimant is deemed to have</w:t>
      </w:r>
      <w:r w:rsidR="6FD5E67E">
        <w:t>,</w:t>
      </w:r>
      <w:r w:rsidR="3D86E478">
        <w:t xml:space="preserve"> which is </w:t>
      </w:r>
      <w:r w:rsidR="18640152">
        <w:t xml:space="preserve">used in the </w:t>
      </w:r>
      <w:r w:rsidR="610847F0">
        <w:t>calculation</w:t>
      </w:r>
      <w:r w:rsidR="18640152">
        <w:t xml:space="preserve"> of affordability.  </w:t>
      </w:r>
      <w:bookmarkEnd w:id="0"/>
      <w:r w:rsidR="18640152">
        <w:t>Pensioner claims (people aged over 67) are on a national scheme</w:t>
      </w:r>
      <w:r w:rsidR="7A5532DC">
        <w:t xml:space="preserve">, administered by the Council, but governed by </w:t>
      </w:r>
      <w:r w:rsidR="2EBB8BFF">
        <w:t xml:space="preserve">the </w:t>
      </w:r>
      <w:r w:rsidR="7D9B9E0C">
        <w:t>Department</w:t>
      </w:r>
      <w:r w:rsidR="2EBB8BFF">
        <w:t xml:space="preserve"> for </w:t>
      </w:r>
      <w:r w:rsidR="390E3699">
        <w:t>Levelling</w:t>
      </w:r>
      <w:r w:rsidR="2EBB8BFF">
        <w:t xml:space="preserve"> Up Housing and </w:t>
      </w:r>
      <w:r w:rsidR="6B737FC1">
        <w:t>Communities</w:t>
      </w:r>
      <w:r w:rsidR="2EBB8BFF">
        <w:t xml:space="preserve"> (</w:t>
      </w:r>
      <w:r w:rsidR="7A5532DC">
        <w:t>DLUHC</w:t>
      </w:r>
      <w:r w:rsidR="03DF0F79">
        <w:t>)</w:t>
      </w:r>
      <w:r w:rsidR="7A5532DC">
        <w:t xml:space="preserve"> </w:t>
      </w:r>
      <w:r w:rsidR="18640152">
        <w:t>and the Council do</w:t>
      </w:r>
      <w:r w:rsidR="11D302D3">
        <w:t xml:space="preserve">es not have the jurisdiction to amend these rules of entitlement.  </w:t>
      </w:r>
    </w:p>
    <w:p w14:paraId="4D86DE33" w14:textId="09C5B96D" w:rsidR="004D4C7F" w:rsidRDefault="004D4C7F" w:rsidP="32F96943">
      <w:pPr>
        <w:ind w:left="720"/>
        <w:jc w:val="both"/>
      </w:pPr>
    </w:p>
    <w:p w14:paraId="229DAF76" w14:textId="439ECB36" w:rsidR="004D4C7F" w:rsidRDefault="11D302D3" w:rsidP="32F96943">
      <w:pPr>
        <w:ind w:left="720"/>
        <w:jc w:val="both"/>
      </w:pPr>
      <w:r>
        <w:t xml:space="preserve">The scheme is reviewed </w:t>
      </w:r>
      <w:r w:rsidR="55BDA21A">
        <w:t>annually</w:t>
      </w:r>
      <w:r w:rsidR="469FB131">
        <w:t xml:space="preserve"> by the Council </w:t>
      </w:r>
      <w:r>
        <w:t>and the public have their say through a consultation period of 8 weeks each summer.</w:t>
      </w:r>
      <w:r w:rsidR="542A420C">
        <w:t xml:space="preserve">  </w:t>
      </w:r>
      <w:bookmarkStart w:id="2" w:name="_Hlk188347775"/>
      <w:r w:rsidR="21451603">
        <w:t>This</w:t>
      </w:r>
      <w:r w:rsidR="542A420C">
        <w:t xml:space="preserve"> process has been in place since April 2013 and small changes are made annually where ‘gaps’ are identified in our regulations</w:t>
      </w:r>
      <w:r w:rsidR="14420313">
        <w:t xml:space="preserve"> and </w:t>
      </w:r>
      <w:r w:rsidR="542A420C">
        <w:t>nat</w:t>
      </w:r>
      <w:r w:rsidR="3482877A">
        <w:t>ional</w:t>
      </w:r>
      <w:r w:rsidR="542A420C">
        <w:t xml:space="preserve"> or local policy changes are made, such as supporting </w:t>
      </w:r>
      <w:r w:rsidR="2C4C923C">
        <w:t xml:space="preserve">a specific group of </w:t>
      </w:r>
      <w:r w:rsidR="519C8E86">
        <w:t>residents</w:t>
      </w:r>
      <w:r w:rsidR="2C4C923C">
        <w:t>, such as care leavers.</w:t>
      </w:r>
      <w:bookmarkEnd w:id="2"/>
    </w:p>
    <w:p w14:paraId="578ACC8F" w14:textId="067B8C6B" w:rsidR="004D4C7F" w:rsidRDefault="004D4C7F" w:rsidP="32F96943">
      <w:pPr>
        <w:ind w:left="720"/>
        <w:jc w:val="both"/>
      </w:pPr>
    </w:p>
    <w:p w14:paraId="0CAD3FC5" w14:textId="506F4416" w:rsidR="004D4C7F" w:rsidRDefault="004D4C7F" w:rsidP="32F96943">
      <w:pPr>
        <w:ind w:left="720"/>
        <w:jc w:val="both"/>
      </w:pPr>
      <w:r>
        <w:lastRenderedPageBreak/>
        <w:t xml:space="preserve">Oxford City Council is one of a handful of authorities who </w:t>
      </w:r>
      <w:r w:rsidR="08FF91CA">
        <w:t xml:space="preserve">continue to maintain </w:t>
      </w:r>
      <w:r w:rsidR="1B47A3A5">
        <w:t>100%</w:t>
      </w:r>
      <w:r w:rsidR="35B8B8AA">
        <w:t xml:space="preserve"> CTR</w:t>
      </w:r>
      <w:r w:rsidR="1B47A3A5">
        <w:t xml:space="preserve"> </w:t>
      </w:r>
      <w:r w:rsidR="26D961F6">
        <w:t xml:space="preserve">support towards the council tax charge.  This costs </w:t>
      </w:r>
      <w:r w:rsidR="0C6081DD">
        <w:t>approximately</w:t>
      </w:r>
      <w:r w:rsidR="06D5D36C">
        <w:t xml:space="preserve"> </w:t>
      </w:r>
      <w:r w:rsidR="1B47A3A5">
        <w:t>£14m</w:t>
      </w:r>
      <w:r w:rsidR="1E681FC3">
        <w:t xml:space="preserve"> </w:t>
      </w:r>
      <w:r w:rsidR="54BAF459">
        <w:t xml:space="preserve">per annum shared between the </w:t>
      </w:r>
      <w:r w:rsidR="1E681FC3">
        <w:t>City</w:t>
      </w:r>
      <w:r w:rsidR="383328D8">
        <w:t xml:space="preserve"> </w:t>
      </w:r>
      <w:r w:rsidR="343AAC63">
        <w:t>Council,</w:t>
      </w:r>
      <w:r w:rsidR="1E681FC3">
        <w:t xml:space="preserve"> County</w:t>
      </w:r>
      <w:r w:rsidR="27417515">
        <w:t xml:space="preserve"> Council and</w:t>
      </w:r>
      <w:r w:rsidR="1E681FC3">
        <w:t xml:space="preserve"> </w:t>
      </w:r>
      <w:r w:rsidR="7DD43D8B">
        <w:t xml:space="preserve">the </w:t>
      </w:r>
      <w:r w:rsidR="1E681FC3">
        <w:t>Police</w:t>
      </w:r>
      <w:r w:rsidR="1B47A3A5">
        <w:t xml:space="preserve"> </w:t>
      </w:r>
      <w:r w:rsidR="18C97104">
        <w:t xml:space="preserve">and Crime Commission in accordance with their precept. </w:t>
      </w:r>
      <w:r w:rsidR="1097B0AE">
        <w:t>T</w:t>
      </w:r>
      <w:r w:rsidR="1B47A3A5">
        <w:t xml:space="preserve">he </w:t>
      </w:r>
      <w:r w:rsidR="29C85349">
        <w:t xml:space="preserve">annual cost to the </w:t>
      </w:r>
      <w:r w:rsidR="1B47A3A5">
        <w:t xml:space="preserve">City </w:t>
      </w:r>
      <w:r w:rsidR="0F867B20">
        <w:t xml:space="preserve">Council is </w:t>
      </w:r>
      <w:r w:rsidR="17A3BFEC">
        <w:t>e</w:t>
      </w:r>
      <w:r w:rsidR="0F867B20">
        <w:t xml:space="preserve">stimated to be </w:t>
      </w:r>
      <w:r w:rsidR="6FC27820">
        <w:t>approximately</w:t>
      </w:r>
      <w:r w:rsidR="614B701D">
        <w:t xml:space="preserve"> £2m</w:t>
      </w:r>
      <w:r w:rsidR="614B701D">
        <w:t>.</w:t>
      </w:r>
    </w:p>
    <w:p w14:paraId="6D74307F" w14:textId="77777777" w:rsidR="00BC6663" w:rsidRDefault="00BC6663" w:rsidP="7A7864CB">
      <w:pPr>
        <w:jc w:val="both"/>
      </w:pPr>
    </w:p>
    <w:p w14:paraId="1D75605D" w14:textId="77777777" w:rsidR="004D4C7F" w:rsidRPr="006C620A" w:rsidRDefault="004D4C7F" w:rsidP="7A7864CB">
      <w:pPr>
        <w:pStyle w:val="ListParagraph"/>
        <w:ind w:left="-426" w:firstLine="426"/>
        <w:jc w:val="both"/>
        <w:rPr>
          <w:b/>
          <w:bCs/>
        </w:rPr>
      </w:pPr>
      <w:r w:rsidRPr="7A7864CB">
        <w:rPr>
          <w:b/>
          <w:bCs/>
        </w:rPr>
        <w:t>2. Current CTR Scheme- Working Age</w:t>
      </w:r>
    </w:p>
    <w:p w14:paraId="3AFE9CBD" w14:textId="77777777" w:rsidR="004D4C7F" w:rsidRDefault="004D4C7F" w:rsidP="7A7864CB">
      <w:pPr>
        <w:jc w:val="both"/>
      </w:pPr>
    </w:p>
    <w:p w14:paraId="54CFC70A" w14:textId="2FBD8FAA" w:rsidR="004D4C7F" w:rsidRPr="00252140" w:rsidRDefault="004D4C7F" w:rsidP="7A7864CB">
      <w:pPr>
        <w:ind w:left="720"/>
        <w:jc w:val="both"/>
        <w:rPr>
          <w:lang w:eastAsia="en-GB"/>
        </w:rPr>
      </w:pPr>
      <w:r>
        <w:t xml:space="preserve">As </w:t>
      </w:r>
      <w:r w:rsidR="0A1CF4DA">
        <w:t>of</w:t>
      </w:r>
      <w:r>
        <w:t xml:space="preserve"> </w:t>
      </w:r>
      <w:r w:rsidR="431E110F">
        <w:t>30</w:t>
      </w:r>
      <w:r w:rsidR="431E110F" w:rsidRPr="6E2F24C0">
        <w:rPr>
          <w:vertAlign w:val="superscript"/>
        </w:rPr>
        <w:t>th</w:t>
      </w:r>
      <w:r w:rsidR="431E110F">
        <w:t xml:space="preserve"> November 2024, </w:t>
      </w:r>
      <w:r>
        <w:t xml:space="preserve">Oxford City Council scheme </w:t>
      </w:r>
      <w:r w:rsidR="4AB7BBA9">
        <w:t xml:space="preserve">financially supported </w:t>
      </w:r>
      <w:r w:rsidR="52163C65">
        <w:t>6,616</w:t>
      </w:r>
      <w:r w:rsidR="4AB7BBA9">
        <w:t xml:space="preserve"> households with their council tax charge.  </w:t>
      </w:r>
      <w:r w:rsidR="37EBC064">
        <w:t>In accordance with the Local Government Finance Act, each local scheme must be</w:t>
      </w:r>
      <w:r w:rsidR="63059FEE">
        <w:t xml:space="preserve"> ‘</w:t>
      </w:r>
      <w:bookmarkStart w:id="3" w:name="_Int_tjNm8Cds"/>
      <w:proofErr w:type="gramStart"/>
      <w:r w:rsidR="63059FEE" w:rsidRPr="6E2F24C0">
        <w:rPr>
          <w:i/>
          <w:iCs/>
        </w:rPr>
        <w:t>means</w:t>
      </w:r>
      <w:r w:rsidR="63059FEE">
        <w:t>’</w:t>
      </w:r>
      <w:bookmarkEnd w:id="3"/>
      <w:proofErr w:type="gramEnd"/>
      <w:r w:rsidR="63059FEE">
        <w:t xml:space="preserve"> </w:t>
      </w:r>
      <w:r w:rsidR="37EBC064">
        <w:t xml:space="preserve">tested which </w:t>
      </w:r>
      <w:r w:rsidR="5604D144">
        <w:t>defines</w:t>
      </w:r>
      <w:r w:rsidR="37EBC064">
        <w:t xml:space="preserve"> that our scheme must take into consideration affordability of the council tax charge when determining eligibility.</w:t>
      </w:r>
      <w:r w:rsidR="6C0A69D6">
        <w:t xml:space="preserve">  Affordability would include wages, state benefits, savings for example.  The scheme </w:t>
      </w:r>
      <w:r w:rsidR="18C0EC4A">
        <w:t>does</w:t>
      </w:r>
      <w:r w:rsidR="6C0A69D6">
        <w:t xml:space="preserve"> not </w:t>
      </w:r>
      <w:r w:rsidR="3B2F6AEF">
        <w:t>consider</w:t>
      </w:r>
      <w:r w:rsidR="6C0A69D6">
        <w:t xml:space="preserve"> any expenses that a household incurs</w:t>
      </w:r>
      <w:r w:rsidR="1D4F8003">
        <w:t>, such as utility bills.</w:t>
      </w:r>
    </w:p>
    <w:p w14:paraId="49E95599" w14:textId="2C9784F7" w:rsidR="7A7864CB" w:rsidRDefault="7A7864CB" w:rsidP="7A7864CB">
      <w:pPr>
        <w:ind w:left="720"/>
        <w:jc w:val="both"/>
      </w:pPr>
    </w:p>
    <w:p w14:paraId="064FCCD5" w14:textId="101C86A0" w:rsidR="7D52BCE1" w:rsidRDefault="7D52BCE1" w:rsidP="7A7864CB">
      <w:pPr>
        <w:ind w:left="720"/>
        <w:jc w:val="both"/>
      </w:pPr>
      <w:r>
        <w:t xml:space="preserve">The Oxford scheme </w:t>
      </w:r>
      <w:proofErr w:type="gramStart"/>
      <w:r>
        <w:t>supports</w:t>
      </w:r>
      <w:r w:rsidR="03B88C91">
        <w:t>;</w:t>
      </w:r>
      <w:proofErr w:type="gramEnd"/>
    </w:p>
    <w:p w14:paraId="6EFED20B" w14:textId="4003A87D" w:rsidR="004D4C7F" w:rsidRPr="00252140" w:rsidRDefault="004D4C7F" w:rsidP="0BCD9809">
      <w:pPr>
        <w:numPr>
          <w:ilvl w:val="0"/>
          <w:numId w:val="7"/>
        </w:numPr>
        <w:tabs>
          <w:tab w:val="left" w:pos="426"/>
        </w:tabs>
        <w:ind w:left="1710" w:hanging="270"/>
        <w:jc w:val="both"/>
        <w:rPr>
          <w:rFonts w:eastAsia="Times New Roman" w:cs="Times New Roman"/>
          <w:color w:val="000000"/>
          <w:lang w:eastAsia="en-GB"/>
        </w:rPr>
      </w:pPr>
      <w:r w:rsidRPr="0BCD9809">
        <w:rPr>
          <w:rFonts w:eastAsia="Times New Roman" w:cs="Times New Roman"/>
          <w:color w:val="000000" w:themeColor="text1"/>
          <w:lang w:eastAsia="en-GB"/>
        </w:rPr>
        <w:t xml:space="preserve">Work incentives and </w:t>
      </w:r>
      <w:r w:rsidR="0DA36505" w:rsidRPr="0BCD9809">
        <w:rPr>
          <w:rFonts w:eastAsia="Times New Roman" w:cs="Times New Roman"/>
          <w:color w:val="000000" w:themeColor="text1"/>
          <w:lang w:eastAsia="en-GB"/>
        </w:rPr>
        <w:t>avoids</w:t>
      </w:r>
      <w:r w:rsidRPr="0BCD9809">
        <w:rPr>
          <w:rFonts w:eastAsia="Times New Roman" w:cs="Times New Roman"/>
          <w:color w:val="000000" w:themeColor="text1"/>
          <w:lang w:eastAsia="en-GB"/>
        </w:rPr>
        <w:t xml:space="preserve"> disincentives for those moving into </w:t>
      </w:r>
      <w:proofErr w:type="gramStart"/>
      <w:r w:rsidRPr="0BCD9809">
        <w:rPr>
          <w:rFonts w:eastAsia="Times New Roman" w:cs="Times New Roman"/>
          <w:color w:val="000000" w:themeColor="text1"/>
          <w:lang w:eastAsia="en-GB"/>
        </w:rPr>
        <w:t>wor</w:t>
      </w:r>
      <w:r w:rsidR="721D48F1" w:rsidRPr="0BCD9809">
        <w:rPr>
          <w:rFonts w:eastAsia="Times New Roman" w:cs="Times New Roman"/>
          <w:color w:val="000000" w:themeColor="text1"/>
          <w:lang w:eastAsia="en-GB"/>
        </w:rPr>
        <w:t>k</w:t>
      </w:r>
      <w:proofErr w:type="gramEnd"/>
    </w:p>
    <w:p w14:paraId="506B76DB" w14:textId="7DC08BE7" w:rsidR="004D4C7F" w:rsidRPr="00252140" w:rsidRDefault="004D4C7F" w:rsidP="0BCD9809">
      <w:pPr>
        <w:numPr>
          <w:ilvl w:val="0"/>
          <w:numId w:val="7"/>
        </w:numPr>
        <w:tabs>
          <w:tab w:val="left" w:pos="426"/>
        </w:tabs>
        <w:ind w:left="1710" w:hanging="270"/>
        <w:jc w:val="both"/>
        <w:rPr>
          <w:rFonts w:eastAsia="Times New Roman" w:cs="Times New Roman"/>
          <w:color w:val="000000"/>
          <w:lang w:eastAsia="en-GB"/>
        </w:rPr>
      </w:pPr>
      <w:r w:rsidRPr="0BCD9809">
        <w:rPr>
          <w:rFonts w:eastAsia="Times New Roman" w:cs="Times New Roman"/>
          <w:color w:val="000000" w:themeColor="text1"/>
          <w:lang w:eastAsia="en-GB"/>
        </w:rPr>
        <w:t>The Council’s duties to protect vulnerable people (under the Equality Act 2010, the Care Act 2014, the Child Poverty Act 2010, the Housing Act 1996)</w:t>
      </w:r>
    </w:p>
    <w:p w14:paraId="45BB8A39" w14:textId="77777777" w:rsidR="004D4C7F" w:rsidRPr="00252140" w:rsidRDefault="004D4C7F" w:rsidP="0BCD9809">
      <w:pPr>
        <w:numPr>
          <w:ilvl w:val="0"/>
          <w:numId w:val="7"/>
        </w:numPr>
        <w:tabs>
          <w:tab w:val="left" w:pos="426"/>
        </w:tabs>
        <w:ind w:left="1710" w:hanging="270"/>
        <w:jc w:val="both"/>
        <w:rPr>
          <w:rFonts w:eastAsia="Times New Roman" w:cs="Times New Roman"/>
          <w:color w:val="000000"/>
          <w:lang w:eastAsia="en-GB"/>
        </w:rPr>
      </w:pPr>
      <w:r w:rsidRPr="0BCD9809">
        <w:rPr>
          <w:rFonts w:eastAsia="Times New Roman" w:cs="Times New Roman"/>
          <w:color w:val="000000" w:themeColor="text1"/>
          <w:lang w:eastAsia="en-GB"/>
        </w:rPr>
        <w:t>The Armed Forces Covenant</w:t>
      </w:r>
    </w:p>
    <w:p w14:paraId="1631A265" w14:textId="5E115252" w:rsidR="7A7864CB" w:rsidRDefault="7A7864CB" w:rsidP="7A7864CB">
      <w:pPr>
        <w:ind w:left="720"/>
        <w:jc w:val="both"/>
      </w:pPr>
    </w:p>
    <w:p w14:paraId="4CFE26C3" w14:textId="7BB0E7E0" w:rsidR="004D4C7F" w:rsidRPr="00252140" w:rsidRDefault="07D90B2A" w:rsidP="7A7864CB">
      <w:pPr>
        <w:ind w:left="720"/>
        <w:jc w:val="both"/>
      </w:pPr>
      <w:r>
        <w:t xml:space="preserve">The Council applies a banded </w:t>
      </w:r>
      <w:r w:rsidR="7D2F1B62">
        <w:t xml:space="preserve">income </w:t>
      </w:r>
      <w:r>
        <w:t>scheme</w:t>
      </w:r>
      <w:r w:rsidR="205D0A7A">
        <w:t xml:space="preserve"> which applies a council tax discount depending</w:t>
      </w:r>
      <w:r w:rsidR="67C9EF59">
        <w:t xml:space="preserve"> on the income band that the claimant falls</w:t>
      </w:r>
      <w:r w:rsidR="1A4340C4">
        <w:t xml:space="preserve">.  </w:t>
      </w:r>
      <w:r w:rsidR="3E81509C">
        <w:t>This</w:t>
      </w:r>
      <w:r w:rsidR="1A4340C4">
        <w:t xml:space="preserve"> </w:t>
      </w:r>
      <w:r w:rsidR="4FB01434">
        <w:t>approach</w:t>
      </w:r>
      <w:r w:rsidR="1A4340C4">
        <w:t xml:space="preserve"> </w:t>
      </w:r>
      <w:r w:rsidR="47EDD2C2">
        <w:t>h</w:t>
      </w:r>
      <w:r w:rsidR="1A4340C4">
        <w:t xml:space="preserve">as been in place since 2018 as a method of ease for the public to have changes within income bands and not to affect their award of CTR.  </w:t>
      </w:r>
      <w:r w:rsidR="642DFBEB">
        <w:t>T</w:t>
      </w:r>
      <w:r w:rsidR="6435600E">
        <w:t>h</w:t>
      </w:r>
      <w:r w:rsidR="642DFBEB">
        <w:t xml:space="preserve">e public are </w:t>
      </w:r>
      <w:r w:rsidR="20706173">
        <w:t>requested</w:t>
      </w:r>
      <w:r w:rsidR="642DFBEB">
        <w:t xml:space="preserve"> in our scheme to report any changes throughout the financial year (an award of CTRS is made for th</w:t>
      </w:r>
      <w:r w:rsidR="6920F791">
        <w:t xml:space="preserve">e </w:t>
      </w:r>
      <w:r w:rsidR="642DFBEB">
        <w:t>whole period of April to</w:t>
      </w:r>
      <w:r w:rsidR="563FD9A3">
        <w:t xml:space="preserve"> the following</w:t>
      </w:r>
      <w:r w:rsidR="642DFBEB">
        <w:t xml:space="preserve"> March) where it will affect the discount applied.  Reporting must be made within a month of the change and can be both </w:t>
      </w:r>
      <w:r w:rsidR="06303FC7">
        <w:t>advantageous</w:t>
      </w:r>
      <w:r w:rsidR="1E24AD60">
        <w:t xml:space="preserve"> </w:t>
      </w:r>
      <w:bookmarkStart w:id="4" w:name="_Int_oSanZkiT"/>
      <w:proofErr w:type="gramStart"/>
      <w:r w:rsidR="1E24AD60">
        <w:t>or</w:t>
      </w:r>
      <w:bookmarkEnd w:id="4"/>
      <w:proofErr w:type="gramEnd"/>
      <w:r w:rsidR="1E24AD60">
        <w:t xml:space="preserve"> negative to the award of entitlement.  </w:t>
      </w:r>
      <w:r w:rsidR="342016FC">
        <w:t>This allows households with fluctuating earnings to report changes and not have the worry of the impact to the council tax charge when the CTR claim is changed.</w:t>
      </w:r>
    </w:p>
    <w:p w14:paraId="789F77C5" w14:textId="00B06643" w:rsidR="004D4C7F" w:rsidRPr="00252140" w:rsidRDefault="004D4C7F" w:rsidP="7A7864CB">
      <w:pPr>
        <w:ind w:left="720"/>
        <w:jc w:val="both"/>
      </w:pPr>
    </w:p>
    <w:p w14:paraId="0E69206C" w14:textId="222578C2" w:rsidR="004D4C7F" w:rsidRPr="00252140" w:rsidRDefault="7EDC5ECD" w:rsidP="7A7864CB">
      <w:pPr>
        <w:ind w:left="720"/>
        <w:jc w:val="both"/>
      </w:pPr>
      <w:r>
        <w:t xml:space="preserve">The current process for </w:t>
      </w:r>
      <w:r w:rsidR="10F95C9F">
        <w:t>administration</w:t>
      </w:r>
      <w:r>
        <w:t xml:space="preserve"> of the scheme </w:t>
      </w:r>
      <w:r w:rsidR="1A4340C4">
        <w:t>also benefits the C</w:t>
      </w:r>
      <w:r w:rsidR="346CC185">
        <w:t>o</w:t>
      </w:r>
      <w:r w:rsidR="1A4340C4">
        <w:t xml:space="preserve">uncil </w:t>
      </w:r>
      <w:r w:rsidR="71DA2D69">
        <w:t xml:space="preserve">through </w:t>
      </w:r>
      <w:r w:rsidR="1696D9E9">
        <w:t>reduc</w:t>
      </w:r>
      <w:r w:rsidR="320D160F">
        <w:t>ed</w:t>
      </w:r>
      <w:r w:rsidR="1696D9E9">
        <w:t xml:space="preserve"> printing and postage costs</w:t>
      </w:r>
      <w:r w:rsidR="6B74B298">
        <w:t>. This approach also reduced the number of contacts made by the public to the council where changes in CTRS affect the total council tax charge and affordability.</w:t>
      </w:r>
      <w:r w:rsidR="45D78835">
        <w:t xml:space="preserve">  E</w:t>
      </w:r>
      <w:r w:rsidR="230A8F87">
        <w:t>a</w:t>
      </w:r>
      <w:r w:rsidR="45D78835">
        <w:t>ch year the service reviews the number of claims and reported changes to ensure that staffing levels are adequate to maintain the scheme</w:t>
      </w:r>
      <w:r w:rsidR="52FEAAF0">
        <w:t>.</w:t>
      </w:r>
      <w:r w:rsidR="2DDD1E48">
        <w:t xml:space="preserve">  The service currently administers 100,000 changes over a year and supports a total caseload (both Housing </w:t>
      </w:r>
      <w:r w:rsidR="5A5C029D">
        <w:t>B</w:t>
      </w:r>
      <w:r w:rsidR="2DDD1E48">
        <w:t>enefit and C</w:t>
      </w:r>
      <w:r w:rsidR="64343017">
        <w:t>o</w:t>
      </w:r>
      <w:r w:rsidR="2DDD1E48">
        <w:t>uncil Tax Reduction</w:t>
      </w:r>
      <w:r w:rsidR="1A3675FD">
        <w:t>)</w:t>
      </w:r>
      <w:r w:rsidR="2DDD1E48">
        <w:t xml:space="preserve"> of 10,0</w:t>
      </w:r>
      <w:r w:rsidR="7AFB4E0E">
        <w:t>62</w:t>
      </w:r>
      <w:r w:rsidR="2DDD1E48">
        <w:t xml:space="preserve"> household</w:t>
      </w:r>
      <w:r w:rsidR="401050E6">
        <w:t>s</w:t>
      </w:r>
      <w:r w:rsidR="5ECDC49D">
        <w:t xml:space="preserve">.  </w:t>
      </w:r>
      <w:r w:rsidR="1EC9B862">
        <w:t>There</w:t>
      </w:r>
      <w:r w:rsidR="5ECDC49D">
        <w:t xml:space="preserve"> are 1</w:t>
      </w:r>
      <w:r w:rsidR="50E60CA6">
        <w:t>3</w:t>
      </w:r>
      <w:r w:rsidR="5ECDC49D">
        <w:t xml:space="preserve"> </w:t>
      </w:r>
      <w:proofErr w:type="spellStart"/>
      <w:r w:rsidR="5ECDC49D">
        <w:t>fte</w:t>
      </w:r>
      <w:proofErr w:type="spellEnd"/>
      <w:r w:rsidR="5ECDC49D">
        <w:t xml:space="preserve"> </w:t>
      </w:r>
      <w:r w:rsidR="4FEBBFC8">
        <w:t xml:space="preserve">(including managers) </w:t>
      </w:r>
      <w:r w:rsidR="5ECDC49D">
        <w:t xml:space="preserve">to cover this </w:t>
      </w:r>
      <w:r w:rsidR="196FC9B4">
        <w:t xml:space="preserve">statutory </w:t>
      </w:r>
      <w:r w:rsidR="33F04CE2">
        <w:t>responsibility</w:t>
      </w:r>
      <w:r w:rsidR="3B050C2E">
        <w:t>.</w:t>
      </w:r>
    </w:p>
    <w:p w14:paraId="6F527C36" w14:textId="6E2C27CB" w:rsidR="0BCD9809" w:rsidRDefault="0BCD9809" w:rsidP="0BCD9809">
      <w:pPr>
        <w:ind w:left="720"/>
        <w:jc w:val="both"/>
      </w:pPr>
    </w:p>
    <w:p w14:paraId="23DE91BC" w14:textId="162EFC91" w:rsidR="004D4C7F" w:rsidRPr="00252140" w:rsidRDefault="3B050C2E" w:rsidP="6E2F24C0">
      <w:pPr>
        <w:ind w:firstLine="720"/>
        <w:jc w:val="both"/>
      </w:pPr>
      <w:r>
        <w:t xml:space="preserve">The </w:t>
      </w:r>
      <w:r w:rsidR="3DC57F2E">
        <w:t xml:space="preserve">current </w:t>
      </w:r>
      <w:r>
        <w:t xml:space="preserve">2024-2025 banded scheme is </w:t>
      </w:r>
      <w:r w:rsidR="31D75E48">
        <w:t xml:space="preserve">applied </w:t>
      </w:r>
      <w:r>
        <w:t xml:space="preserve">as </w:t>
      </w:r>
      <w:proofErr w:type="gramStart"/>
      <w:r>
        <w:t>follows;</w:t>
      </w:r>
      <w:proofErr w:type="gramEnd"/>
    </w:p>
    <w:p w14:paraId="474172A9" w14:textId="5DF04F93" w:rsidR="004D4C7F" w:rsidRPr="00252140" w:rsidRDefault="004D4C7F" w:rsidP="0BCD9809">
      <w:pPr>
        <w:ind w:left="720"/>
        <w:jc w:val="both"/>
      </w:pPr>
    </w:p>
    <w:tbl>
      <w:tblPr>
        <w:tblStyle w:val="TableGrid"/>
        <w:tblW w:w="0" w:type="auto"/>
        <w:tblInd w:w="7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84"/>
        <w:gridCol w:w="2844"/>
        <w:gridCol w:w="2889"/>
        <w:gridCol w:w="2588"/>
      </w:tblGrid>
      <w:tr w:rsidR="0BCD9809" w14:paraId="460EB7D8" w14:textId="77777777" w:rsidTr="0BCD9809">
        <w:trPr>
          <w:trHeight w:val="300"/>
        </w:trPr>
        <w:tc>
          <w:tcPr>
            <w:tcW w:w="9705" w:type="dxa"/>
            <w:gridSpan w:val="4"/>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5496515" w14:textId="67B15E13" w:rsidR="0BCD9809" w:rsidRDefault="0BCD9809" w:rsidP="0BCD9809">
            <w:pPr>
              <w:rPr>
                <w:rFonts w:eastAsia="Arial"/>
                <w:color w:val="000000" w:themeColor="text1"/>
                <w:sz w:val="22"/>
                <w:szCs w:val="22"/>
              </w:rPr>
            </w:pPr>
            <w:r w:rsidRPr="0BCD9809">
              <w:rPr>
                <w:rFonts w:eastAsia="Arial"/>
                <w:b/>
                <w:bCs/>
                <w:color w:val="000000" w:themeColor="text1"/>
                <w:sz w:val="22"/>
                <w:szCs w:val="22"/>
              </w:rPr>
              <w:t>Table 1: Income Bandings for existing CTR scheme</w:t>
            </w:r>
          </w:p>
        </w:tc>
      </w:tr>
      <w:tr w:rsidR="0BCD9809" w14:paraId="5694B9B1" w14:textId="77777777" w:rsidTr="0BCD9809">
        <w:trPr>
          <w:trHeight w:val="300"/>
        </w:trPr>
        <w:tc>
          <w:tcPr>
            <w:tcW w:w="138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49DDB7F" w14:textId="0827A620" w:rsidR="0BCD9809" w:rsidRDefault="0BCD9809" w:rsidP="0BCD9809">
            <w:pPr>
              <w:rPr>
                <w:rFonts w:eastAsia="Arial"/>
                <w:color w:val="000000" w:themeColor="text1"/>
                <w:sz w:val="22"/>
                <w:szCs w:val="22"/>
              </w:rPr>
            </w:pPr>
            <w:r w:rsidRPr="0BCD9809">
              <w:rPr>
                <w:rFonts w:eastAsia="Arial"/>
                <w:b/>
                <w:bCs/>
                <w:color w:val="000000" w:themeColor="text1"/>
                <w:sz w:val="22"/>
                <w:szCs w:val="22"/>
              </w:rPr>
              <w:t>Band</w:t>
            </w:r>
          </w:p>
        </w:tc>
        <w:tc>
          <w:tcPr>
            <w:tcW w:w="284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B16213A" w14:textId="0DA91EDE" w:rsidR="0BCD9809" w:rsidRDefault="0BCD9809" w:rsidP="0BCD9809">
            <w:pPr>
              <w:rPr>
                <w:rFonts w:eastAsia="Arial"/>
                <w:color w:val="000000" w:themeColor="text1"/>
                <w:sz w:val="22"/>
                <w:szCs w:val="22"/>
              </w:rPr>
            </w:pPr>
            <w:r w:rsidRPr="0BCD9809">
              <w:rPr>
                <w:rFonts w:eastAsia="Arial"/>
                <w:b/>
                <w:bCs/>
                <w:color w:val="000000" w:themeColor="text1"/>
                <w:sz w:val="22"/>
                <w:szCs w:val="22"/>
              </w:rPr>
              <w:t>Weekly Income</w:t>
            </w:r>
          </w:p>
        </w:tc>
        <w:tc>
          <w:tcPr>
            <w:tcW w:w="288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6DE61AB" w14:textId="018D0238" w:rsidR="0BCD9809" w:rsidRDefault="0BCD9809" w:rsidP="0BCD9809">
            <w:pPr>
              <w:rPr>
                <w:rFonts w:eastAsia="Arial"/>
                <w:color w:val="000000" w:themeColor="text1"/>
                <w:sz w:val="22"/>
                <w:szCs w:val="22"/>
              </w:rPr>
            </w:pPr>
            <w:r w:rsidRPr="0BCD9809">
              <w:rPr>
                <w:rFonts w:eastAsia="Arial"/>
                <w:b/>
                <w:bCs/>
                <w:color w:val="000000" w:themeColor="text1"/>
                <w:sz w:val="22"/>
                <w:szCs w:val="22"/>
              </w:rPr>
              <w:t>Discount received</w:t>
            </w:r>
          </w:p>
        </w:tc>
        <w:tc>
          <w:tcPr>
            <w:tcW w:w="258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519E629" w14:textId="1EE0F18C" w:rsidR="0BCD9809" w:rsidRDefault="0BCD9809" w:rsidP="0BCD9809">
            <w:pPr>
              <w:jc w:val="center"/>
              <w:rPr>
                <w:rFonts w:eastAsia="Arial"/>
                <w:color w:val="000000" w:themeColor="text1"/>
                <w:sz w:val="22"/>
                <w:szCs w:val="22"/>
              </w:rPr>
            </w:pPr>
            <w:r w:rsidRPr="0BCD9809">
              <w:rPr>
                <w:rFonts w:eastAsia="Arial"/>
                <w:b/>
                <w:bCs/>
                <w:color w:val="000000" w:themeColor="text1"/>
                <w:sz w:val="22"/>
                <w:szCs w:val="22"/>
              </w:rPr>
              <w:t>Working Age Claims in each band (at 1/10/2024)</w:t>
            </w:r>
          </w:p>
        </w:tc>
      </w:tr>
      <w:tr w:rsidR="0BCD9809" w14:paraId="4F3D7F7C" w14:textId="77777777" w:rsidTr="0BCD9809">
        <w:trPr>
          <w:trHeight w:val="300"/>
        </w:trPr>
        <w:tc>
          <w:tcPr>
            <w:tcW w:w="138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7C79444" w14:textId="529F2F2D"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1</w:t>
            </w:r>
          </w:p>
        </w:tc>
        <w:tc>
          <w:tcPr>
            <w:tcW w:w="284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6E33AF0" w14:textId="3A4E8E4B" w:rsidR="0BCD9809" w:rsidRDefault="0BCD9809" w:rsidP="0BCD9809">
            <w:pPr>
              <w:rPr>
                <w:rFonts w:eastAsia="Arial"/>
                <w:color w:val="000000" w:themeColor="text1"/>
                <w:sz w:val="22"/>
                <w:szCs w:val="22"/>
              </w:rPr>
            </w:pPr>
            <w:r w:rsidRPr="0BCD9809">
              <w:rPr>
                <w:rFonts w:eastAsia="Arial"/>
                <w:color w:val="000000" w:themeColor="text1"/>
                <w:sz w:val="22"/>
                <w:szCs w:val="22"/>
              </w:rPr>
              <w:t>£0 - £184.00</w:t>
            </w:r>
          </w:p>
        </w:tc>
        <w:tc>
          <w:tcPr>
            <w:tcW w:w="288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871C044" w14:textId="50BB236C"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100%</w:t>
            </w:r>
          </w:p>
        </w:tc>
        <w:tc>
          <w:tcPr>
            <w:tcW w:w="258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94DC203" w14:textId="47FF89BE"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5623</w:t>
            </w:r>
          </w:p>
        </w:tc>
      </w:tr>
      <w:tr w:rsidR="0BCD9809" w14:paraId="20F39383" w14:textId="77777777" w:rsidTr="0BCD9809">
        <w:trPr>
          <w:trHeight w:val="300"/>
        </w:trPr>
        <w:tc>
          <w:tcPr>
            <w:tcW w:w="138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145ED39" w14:textId="309A9A9C"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2</w:t>
            </w:r>
          </w:p>
        </w:tc>
        <w:tc>
          <w:tcPr>
            <w:tcW w:w="284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7F8BA3F" w14:textId="314F1ACE" w:rsidR="0BCD9809" w:rsidRDefault="0BCD9809" w:rsidP="0BCD9809">
            <w:pPr>
              <w:rPr>
                <w:rFonts w:eastAsia="Arial"/>
                <w:color w:val="000000" w:themeColor="text1"/>
                <w:sz w:val="22"/>
                <w:szCs w:val="22"/>
              </w:rPr>
            </w:pPr>
            <w:r w:rsidRPr="0BCD9809">
              <w:rPr>
                <w:rFonts w:eastAsia="Arial"/>
                <w:color w:val="000000" w:themeColor="text1"/>
                <w:sz w:val="22"/>
                <w:szCs w:val="22"/>
              </w:rPr>
              <w:t>£184.01 - £275.00</w:t>
            </w:r>
          </w:p>
        </w:tc>
        <w:tc>
          <w:tcPr>
            <w:tcW w:w="288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6C84B93" w14:textId="2145DDF6"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75%</w:t>
            </w:r>
          </w:p>
        </w:tc>
        <w:tc>
          <w:tcPr>
            <w:tcW w:w="258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400F5DF" w14:textId="74074550"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608</w:t>
            </w:r>
          </w:p>
        </w:tc>
      </w:tr>
      <w:tr w:rsidR="0BCD9809" w14:paraId="1452712F" w14:textId="77777777" w:rsidTr="0BCD9809">
        <w:trPr>
          <w:trHeight w:val="300"/>
        </w:trPr>
        <w:tc>
          <w:tcPr>
            <w:tcW w:w="138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4E47892" w14:textId="25EE6F6D"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3</w:t>
            </w:r>
          </w:p>
        </w:tc>
        <w:tc>
          <w:tcPr>
            <w:tcW w:w="284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92E1B9E" w14:textId="4BBC6D8D" w:rsidR="0BCD9809" w:rsidRDefault="0BCD9809" w:rsidP="0BCD9809">
            <w:pPr>
              <w:rPr>
                <w:rFonts w:eastAsia="Arial"/>
                <w:color w:val="000000" w:themeColor="text1"/>
                <w:sz w:val="22"/>
                <w:szCs w:val="22"/>
              </w:rPr>
            </w:pPr>
            <w:r w:rsidRPr="0BCD9809">
              <w:rPr>
                <w:rFonts w:eastAsia="Arial"/>
                <w:color w:val="000000" w:themeColor="text1"/>
                <w:sz w:val="22"/>
                <w:szCs w:val="22"/>
              </w:rPr>
              <w:t>£275.01 - £375.00</w:t>
            </w:r>
          </w:p>
        </w:tc>
        <w:tc>
          <w:tcPr>
            <w:tcW w:w="288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1A728DD" w14:textId="01F47F6F"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50%</w:t>
            </w:r>
          </w:p>
        </w:tc>
        <w:tc>
          <w:tcPr>
            <w:tcW w:w="258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52DA50E" w14:textId="34138206"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296</w:t>
            </w:r>
          </w:p>
        </w:tc>
      </w:tr>
      <w:tr w:rsidR="0BCD9809" w14:paraId="3266D000" w14:textId="77777777" w:rsidTr="0BCD9809">
        <w:trPr>
          <w:trHeight w:val="300"/>
        </w:trPr>
        <w:tc>
          <w:tcPr>
            <w:tcW w:w="138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68B5CA1" w14:textId="11444257"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4</w:t>
            </w:r>
          </w:p>
        </w:tc>
        <w:tc>
          <w:tcPr>
            <w:tcW w:w="284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C95135B" w14:textId="6D777978" w:rsidR="0BCD9809" w:rsidRDefault="0BCD9809" w:rsidP="0BCD9809">
            <w:pPr>
              <w:rPr>
                <w:rFonts w:eastAsia="Arial"/>
                <w:color w:val="000000" w:themeColor="text1"/>
                <w:sz w:val="22"/>
                <w:szCs w:val="22"/>
              </w:rPr>
            </w:pPr>
            <w:r w:rsidRPr="0BCD9809">
              <w:rPr>
                <w:rFonts w:eastAsia="Arial"/>
                <w:color w:val="000000" w:themeColor="text1"/>
                <w:sz w:val="22"/>
                <w:szCs w:val="22"/>
              </w:rPr>
              <w:t>£375.01 - £452.00</w:t>
            </w:r>
          </w:p>
        </w:tc>
        <w:tc>
          <w:tcPr>
            <w:tcW w:w="288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96620BC" w14:textId="419503EB"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25%</w:t>
            </w:r>
          </w:p>
        </w:tc>
        <w:tc>
          <w:tcPr>
            <w:tcW w:w="258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60FE55A" w14:textId="5D250A71"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83</w:t>
            </w:r>
          </w:p>
        </w:tc>
      </w:tr>
      <w:tr w:rsidR="0BCD9809" w14:paraId="07B6E524" w14:textId="77777777" w:rsidTr="0BCD9809">
        <w:trPr>
          <w:trHeight w:val="300"/>
        </w:trPr>
        <w:tc>
          <w:tcPr>
            <w:tcW w:w="138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C1ACB90" w14:textId="06A86EE2"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5</w:t>
            </w:r>
          </w:p>
        </w:tc>
        <w:tc>
          <w:tcPr>
            <w:tcW w:w="284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2CBB6D0" w14:textId="283EB735" w:rsidR="0BCD9809" w:rsidRDefault="0BCD9809" w:rsidP="0BCD9809">
            <w:pPr>
              <w:rPr>
                <w:rFonts w:eastAsia="Arial"/>
                <w:color w:val="000000" w:themeColor="text1"/>
                <w:sz w:val="22"/>
                <w:szCs w:val="22"/>
              </w:rPr>
            </w:pPr>
            <w:r w:rsidRPr="0BCD9809">
              <w:rPr>
                <w:rFonts w:eastAsia="Arial"/>
                <w:color w:val="000000" w:themeColor="text1"/>
                <w:sz w:val="22"/>
                <w:szCs w:val="22"/>
              </w:rPr>
              <w:t>£452.01 and above</w:t>
            </w:r>
          </w:p>
        </w:tc>
        <w:tc>
          <w:tcPr>
            <w:tcW w:w="288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FF25B15" w14:textId="1583735D"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0%</w:t>
            </w:r>
          </w:p>
        </w:tc>
        <w:tc>
          <w:tcPr>
            <w:tcW w:w="258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2517C58" w14:textId="3DACB554"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6</w:t>
            </w:r>
          </w:p>
        </w:tc>
      </w:tr>
    </w:tbl>
    <w:p w14:paraId="030C2392" w14:textId="107015D7" w:rsidR="004D4C7F" w:rsidRPr="00252140" w:rsidRDefault="4E45BBFF" w:rsidP="7A7864CB">
      <w:pPr>
        <w:ind w:left="720"/>
        <w:jc w:val="both"/>
      </w:pPr>
      <w:r>
        <w:t>Total</w:t>
      </w:r>
      <w:r w:rsidR="004D4C7F">
        <w:tab/>
      </w:r>
      <w:r w:rsidR="004D4C7F">
        <w:tab/>
      </w:r>
      <w:r w:rsidR="004D4C7F">
        <w:tab/>
      </w:r>
      <w:r w:rsidR="004D4C7F">
        <w:tab/>
      </w:r>
      <w:r w:rsidR="004D4C7F">
        <w:tab/>
      </w:r>
      <w:r w:rsidR="004D4C7F">
        <w:tab/>
      </w:r>
      <w:r w:rsidR="004D4C7F">
        <w:tab/>
      </w:r>
      <w:r w:rsidR="004D4C7F">
        <w:tab/>
      </w:r>
      <w:r w:rsidR="004D4C7F">
        <w:tab/>
      </w:r>
      <w:r w:rsidR="004D4C7F">
        <w:tab/>
      </w:r>
      <w:proofErr w:type="gramStart"/>
      <w:r w:rsidR="004D4C7F">
        <w:tab/>
      </w:r>
      <w:r>
        <w:t xml:space="preserve">  6616</w:t>
      </w:r>
      <w:proofErr w:type="gramEnd"/>
    </w:p>
    <w:p w14:paraId="259AF2EC" w14:textId="5103213F" w:rsidR="0BCD9809" w:rsidRDefault="0BCD9809" w:rsidP="0BCD9809">
      <w:pPr>
        <w:ind w:left="720"/>
      </w:pPr>
    </w:p>
    <w:p w14:paraId="6F961B87" w14:textId="55F384ED" w:rsidR="7A7864CB" w:rsidRDefault="7A7864CB" w:rsidP="6E2F24C0">
      <w:pPr>
        <w:ind w:left="720"/>
      </w:pPr>
    </w:p>
    <w:p w14:paraId="7101C17B" w14:textId="70DEE03A" w:rsidR="00025A23" w:rsidRPr="0096113E" w:rsidRDefault="387C8863" w:rsidP="6E2F24C0">
      <w:pPr>
        <w:numPr>
          <w:ilvl w:val="0"/>
          <w:numId w:val="31"/>
        </w:numPr>
        <w:jc w:val="both"/>
        <w:rPr>
          <w:b/>
          <w:bCs/>
        </w:rPr>
      </w:pPr>
      <w:r w:rsidRPr="6E2F24C0">
        <w:rPr>
          <w:b/>
          <w:bCs/>
        </w:rPr>
        <w:t xml:space="preserve">Current Scheme Review </w:t>
      </w:r>
    </w:p>
    <w:p w14:paraId="39AFA8B5" w14:textId="4195F4C2" w:rsidR="00986D14" w:rsidRPr="00FE1E98" w:rsidRDefault="00986D14" w:rsidP="0BCD9809">
      <w:pPr>
        <w:spacing w:after="200" w:line="276" w:lineRule="auto"/>
        <w:ind w:left="720"/>
        <w:jc w:val="both"/>
      </w:pPr>
      <w:r>
        <w:br/>
      </w:r>
      <w:r w:rsidR="1F61CE02">
        <w:t>T</w:t>
      </w:r>
      <w:r w:rsidR="21FB1F5B">
        <w:t>h</w:t>
      </w:r>
      <w:r w:rsidR="1F61CE02">
        <w:t xml:space="preserve">e Service undertook a review of its </w:t>
      </w:r>
      <w:r w:rsidR="4CD6D707">
        <w:t>s</w:t>
      </w:r>
      <w:r w:rsidR="1F61CE02">
        <w:t xml:space="preserve">cheme with an external </w:t>
      </w:r>
      <w:r w:rsidR="414985CF">
        <w:t>consultant,</w:t>
      </w:r>
      <w:r w:rsidR="1F61CE02">
        <w:t xml:space="preserve"> and it was found that the current scheme was </w:t>
      </w:r>
      <w:r w:rsidR="110B4D62">
        <w:t>inadvertently</w:t>
      </w:r>
      <w:r w:rsidR="1F61CE02">
        <w:t xml:space="preserve"> affecting claims where </w:t>
      </w:r>
      <w:r w:rsidR="4FF66925">
        <w:t xml:space="preserve">earned </w:t>
      </w:r>
      <w:r w:rsidR="1F61CE02">
        <w:t xml:space="preserve">income was not </w:t>
      </w:r>
      <w:r w:rsidR="74A0CD6D">
        <w:t>considered in the calculation process of affordability</w:t>
      </w:r>
      <w:r w:rsidR="50CB7AD4">
        <w:t xml:space="preserve"> where Universal Credit </w:t>
      </w:r>
      <w:r w:rsidR="11EDA632">
        <w:t xml:space="preserve">(UC) </w:t>
      </w:r>
      <w:r w:rsidR="50CB7AD4">
        <w:t xml:space="preserve">was in place.  </w:t>
      </w:r>
      <w:r w:rsidR="3B18D1F6">
        <w:t xml:space="preserve">In effect claimants </w:t>
      </w:r>
      <w:r w:rsidR="37F4E6F6">
        <w:t xml:space="preserve">who are in employment </w:t>
      </w:r>
      <w:r w:rsidR="573B52D1">
        <w:t>receive</w:t>
      </w:r>
      <w:r w:rsidR="37F4E6F6">
        <w:t xml:space="preserve"> less </w:t>
      </w:r>
      <w:r w:rsidR="7A5DCEBE">
        <w:t>UC</w:t>
      </w:r>
      <w:r w:rsidR="37F4E6F6">
        <w:t xml:space="preserve"> but more council tax reduction, </w:t>
      </w:r>
      <w:r w:rsidR="688E62D2">
        <w:t>conversely</w:t>
      </w:r>
      <w:r w:rsidR="37F4E6F6">
        <w:t xml:space="preserve"> claimants who do not or who are unable to work </w:t>
      </w:r>
      <w:r w:rsidR="1210EBDD">
        <w:t>receive</w:t>
      </w:r>
      <w:r w:rsidR="37F4E6F6">
        <w:t xml:space="preserve"> </w:t>
      </w:r>
      <w:r w:rsidR="3F783294">
        <w:t xml:space="preserve">more </w:t>
      </w:r>
      <w:r w:rsidR="29938D5C">
        <w:t>UC</w:t>
      </w:r>
      <w:r w:rsidR="3F783294">
        <w:t xml:space="preserve"> but less council tax reduction. </w:t>
      </w:r>
      <w:r w:rsidR="6D42407F" w:rsidRPr="6E2F24C0">
        <w:rPr>
          <w:rFonts w:eastAsia="Arial"/>
        </w:rPr>
        <w:t>Pensioners are not affected by this local policy.</w:t>
      </w:r>
    </w:p>
    <w:p w14:paraId="29D709FE" w14:textId="74B3E1EE" w:rsidR="00986D14" w:rsidRPr="00FE1E98" w:rsidRDefault="06F43E0F" w:rsidP="0BCD9809">
      <w:pPr>
        <w:spacing w:after="200" w:line="276" w:lineRule="auto"/>
        <w:ind w:left="720"/>
        <w:jc w:val="both"/>
      </w:pPr>
      <w:r>
        <w:t>As of 30th November 2024, there are 2189 claims with Universal Credit and earning against a total caseload of 6616.  An impact of a third of the caseload.  With further migration to Universal Credit in 2025/26, this issue will increase.</w:t>
      </w:r>
    </w:p>
    <w:p w14:paraId="60F04B66" w14:textId="669D1DAC" w:rsidR="00986D14" w:rsidRPr="00FE1E98" w:rsidRDefault="14E11F5E" w:rsidP="0BCD9809">
      <w:pPr>
        <w:spacing w:after="200" w:line="276" w:lineRule="auto"/>
        <w:ind w:left="720"/>
        <w:jc w:val="both"/>
      </w:pPr>
      <w:r>
        <w:t xml:space="preserve">Universal Credit is a monthly income from the DWP, with the </w:t>
      </w:r>
      <w:r w:rsidR="15736409">
        <w:t>principle</w:t>
      </w:r>
      <w:r>
        <w:t xml:space="preserve"> of these awards to be treated as a salary.  All income and capital </w:t>
      </w:r>
      <w:r w:rsidR="292B24A1">
        <w:t>are</w:t>
      </w:r>
      <w:r>
        <w:t xml:space="preserve"> </w:t>
      </w:r>
      <w:r w:rsidR="50CF6F15">
        <w:t>considered</w:t>
      </w:r>
      <w:r>
        <w:t xml:space="preserve"> when awarding Un</w:t>
      </w:r>
      <w:r w:rsidR="726F5F90">
        <w:t>iversal Credit</w:t>
      </w:r>
      <w:r w:rsidR="5656F976">
        <w:t xml:space="preserve">.  </w:t>
      </w:r>
      <w:r w:rsidR="475694FF">
        <w:t xml:space="preserve">Universal Credit is not a passported benefit like other DWP benefits and this change in approach by government has resulted in inequality across the CTR working age caseload.  </w:t>
      </w:r>
    </w:p>
    <w:p w14:paraId="2CFED6C1" w14:textId="4DE46B6C" w:rsidR="00986D14" w:rsidRPr="00FE1E98" w:rsidRDefault="4C2572E9" w:rsidP="6E2F24C0">
      <w:pPr>
        <w:spacing w:after="200" w:line="276" w:lineRule="auto"/>
        <w:ind w:left="720"/>
        <w:jc w:val="both"/>
      </w:pPr>
      <w:r>
        <w:lastRenderedPageBreak/>
        <w:t xml:space="preserve">By not taking the salary/wages of these claims </w:t>
      </w:r>
      <w:r w:rsidR="779EA3EB">
        <w:t>into</w:t>
      </w:r>
      <w:r>
        <w:t xml:space="preserve"> account this has resulted in significant </w:t>
      </w:r>
      <w:r w:rsidR="7595A0A4">
        <w:t>income</w:t>
      </w:r>
      <w:r>
        <w:t xml:space="preserve"> not being </w:t>
      </w:r>
      <w:r w:rsidR="56D75DD8">
        <w:t>included</w:t>
      </w:r>
      <w:r>
        <w:t xml:space="preserve"> in the </w:t>
      </w:r>
      <w:r w:rsidR="4E964936">
        <w:t>calculation</w:t>
      </w:r>
      <w:r>
        <w:t xml:space="preserve"> and these claims are currently receiving a higher percentage of CTRS support than those claims where the income is only state benefit.  </w:t>
      </w:r>
    </w:p>
    <w:p w14:paraId="0016E6BD" w14:textId="0CCEEB75" w:rsidR="00986D14" w:rsidRPr="00FE1E98" w:rsidRDefault="0C95A880" w:rsidP="0BCD9809">
      <w:pPr>
        <w:pStyle w:val="ListParagraph"/>
        <w:numPr>
          <w:ilvl w:val="0"/>
          <w:numId w:val="31"/>
        </w:numPr>
        <w:spacing w:after="200" w:line="276" w:lineRule="auto"/>
        <w:rPr>
          <w:b/>
          <w:bCs/>
        </w:rPr>
      </w:pPr>
      <w:r w:rsidRPr="0BCD9809">
        <w:rPr>
          <w:b/>
          <w:bCs/>
        </w:rPr>
        <w:t>Modelling</w:t>
      </w:r>
    </w:p>
    <w:p w14:paraId="593F8F81" w14:textId="0E9AD16D" w:rsidR="00986D14" w:rsidRPr="00FE1E98" w:rsidRDefault="00986D14" w:rsidP="0BCD9809">
      <w:pPr>
        <w:pStyle w:val="ListParagraph"/>
        <w:spacing w:after="200" w:line="276" w:lineRule="auto"/>
      </w:pPr>
    </w:p>
    <w:p w14:paraId="1C081ABF" w14:textId="6F0A21DD" w:rsidR="00986D14" w:rsidRPr="00FE1E98" w:rsidRDefault="0C95A880" w:rsidP="0BCD9809">
      <w:pPr>
        <w:pStyle w:val="ListParagraph"/>
        <w:spacing w:after="200" w:line="276" w:lineRule="auto"/>
      </w:pPr>
      <w:r>
        <w:t xml:space="preserve">The suggestion to address the </w:t>
      </w:r>
      <w:r w:rsidR="3DDC8A31">
        <w:t>reduced income for universal credit claims is to change the income bands used in the calculation of the award of CTR.  Modelling of the current scheme shows th</w:t>
      </w:r>
      <w:r w:rsidR="59E5DDA6">
        <w:t>ese suggested bands to reduce the impact to those people who are working and have their salary/wages included in their assessment.</w:t>
      </w:r>
    </w:p>
    <w:p w14:paraId="7BDD1BED" w14:textId="55B77CF3" w:rsidR="00986D14" w:rsidRPr="00FE1E98" w:rsidRDefault="00986D14" w:rsidP="0BCD9809">
      <w:pPr>
        <w:pStyle w:val="ListParagraph"/>
        <w:spacing w:after="200" w:line="276" w:lineRule="auto"/>
      </w:pPr>
    </w:p>
    <w:p w14:paraId="609014A5" w14:textId="6B45F479" w:rsidR="00986D14" w:rsidRPr="00FE1E98" w:rsidRDefault="5C33AE2C" w:rsidP="0BCD9809">
      <w:pPr>
        <w:pStyle w:val="ListParagraph"/>
        <w:spacing w:after="200" w:line="276" w:lineRule="auto"/>
        <w:rPr>
          <w:b/>
          <w:bCs/>
        </w:rPr>
      </w:pPr>
      <w:r w:rsidRPr="0BCD9809">
        <w:rPr>
          <w:b/>
          <w:bCs/>
        </w:rPr>
        <w:t>Option 1</w:t>
      </w:r>
    </w:p>
    <w:p w14:paraId="10924C3D" w14:textId="0CCDC989" w:rsidR="00986D14" w:rsidRPr="00FE1E98" w:rsidRDefault="5C33AE2C" w:rsidP="0BCD9809">
      <w:pPr>
        <w:pStyle w:val="ListParagraph"/>
        <w:numPr>
          <w:ilvl w:val="0"/>
          <w:numId w:val="3"/>
        </w:numPr>
        <w:spacing w:after="200" w:line="276" w:lineRule="auto"/>
      </w:pPr>
      <w:r>
        <w:t xml:space="preserve">To keep the </w:t>
      </w:r>
      <w:r w:rsidR="25C1D062">
        <w:t>scheme</w:t>
      </w:r>
      <w:r>
        <w:t xml:space="preserve"> cost </w:t>
      </w:r>
      <w:r w:rsidR="52050A0F">
        <w:t>neutral but</w:t>
      </w:r>
      <w:r>
        <w:t xml:space="preserve"> resolves the </w:t>
      </w:r>
      <w:r w:rsidR="1D22E48D">
        <w:t>inequality</w:t>
      </w:r>
      <w:r>
        <w:t xml:space="preserve"> of </w:t>
      </w:r>
      <w:r w:rsidR="4CDAB89B">
        <w:t xml:space="preserve">earned </w:t>
      </w:r>
      <w:r>
        <w:t xml:space="preserve">income </w:t>
      </w:r>
      <w:r w:rsidR="30184CBF">
        <w:t xml:space="preserve">currently </w:t>
      </w:r>
      <w:r>
        <w:t xml:space="preserve">not being included.  </w:t>
      </w:r>
    </w:p>
    <w:p w14:paraId="45C4684C" w14:textId="45A1BED1" w:rsidR="00986D14" w:rsidRPr="00FE1E98" w:rsidRDefault="5C33AE2C" w:rsidP="0BCD9809">
      <w:pPr>
        <w:pStyle w:val="ListParagraph"/>
        <w:numPr>
          <w:ilvl w:val="0"/>
          <w:numId w:val="3"/>
        </w:numPr>
        <w:spacing w:after="200" w:line="276" w:lineRule="auto"/>
      </w:pPr>
      <w:r>
        <w:t xml:space="preserve">This scheme would still protect </w:t>
      </w:r>
      <w:r w:rsidR="47D02921">
        <w:t>those</w:t>
      </w:r>
      <w:r>
        <w:t xml:space="preserve"> claims with </w:t>
      </w:r>
      <w:r w:rsidR="2B25A06A">
        <w:t>disability</w:t>
      </w:r>
      <w:r>
        <w:t xml:space="preserve"> income as this is intended to </w:t>
      </w:r>
      <w:r w:rsidR="6C36D2CF">
        <w:t>be ignored</w:t>
      </w:r>
      <w:r>
        <w:t xml:space="preserve"> in the </w:t>
      </w:r>
      <w:r w:rsidR="3B8FB57C">
        <w:t xml:space="preserve">calculation, supporting national and local </w:t>
      </w:r>
      <w:proofErr w:type="gramStart"/>
      <w:r w:rsidR="3B8FB57C">
        <w:t>policy</w:t>
      </w:r>
      <w:proofErr w:type="gramEnd"/>
    </w:p>
    <w:p w14:paraId="62302592" w14:textId="722313ED" w:rsidR="00986D14" w:rsidRPr="00FE1E98" w:rsidRDefault="3CED0BEE" w:rsidP="6E2F24C0">
      <w:pPr>
        <w:pStyle w:val="ListParagraph"/>
        <w:numPr>
          <w:ilvl w:val="0"/>
          <w:numId w:val="3"/>
        </w:numPr>
        <w:spacing w:after="200" w:line="276" w:lineRule="auto"/>
      </w:pPr>
      <w:r>
        <w:t>Affects all bands and therefore all groups of society under the Equalities Ac</w:t>
      </w:r>
      <w:r w:rsidR="492F9FC7">
        <w:t>t</w:t>
      </w:r>
    </w:p>
    <w:tbl>
      <w:tblPr>
        <w:tblStyle w:val="TableGrid"/>
        <w:tblW w:w="0" w:type="auto"/>
        <w:tblInd w:w="7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
        <w:gridCol w:w="2156"/>
        <w:gridCol w:w="1605"/>
        <w:gridCol w:w="2520"/>
        <w:gridCol w:w="2430"/>
        <w:gridCol w:w="1440"/>
        <w:gridCol w:w="1962"/>
      </w:tblGrid>
      <w:tr w:rsidR="0BCD9809" w14:paraId="79FC4351" w14:textId="77777777" w:rsidTr="6E2F24C0">
        <w:trPr>
          <w:trHeight w:val="300"/>
        </w:trPr>
        <w:tc>
          <w:tcPr>
            <w:tcW w:w="11200" w:type="dxa"/>
            <w:gridSpan w:val="6"/>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5FD688E" w14:textId="71E1DA98" w:rsidR="0BCD9809" w:rsidRDefault="0BCD9809" w:rsidP="0BCD9809">
            <w:pPr>
              <w:rPr>
                <w:rFonts w:eastAsia="Arial"/>
                <w:b/>
                <w:bCs/>
                <w:color w:val="000000" w:themeColor="text1"/>
                <w:sz w:val="22"/>
                <w:szCs w:val="22"/>
              </w:rPr>
            </w:pPr>
            <w:r w:rsidRPr="0BCD9809">
              <w:rPr>
                <w:rFonts w:eastAsia="Arial"/>
                <w:b/>
                <w:bCs/>
                <w:color w:val="000000" w:themeColor="text1"/>
                <w:sz w:val="22"/>
                <w:szCs w:val="22"/>
              </w:rPr>
              <w:t xml:space="preserve">Table </w:t>
            </w:r>
            <w:r w:rsidR="751E8A24" w:rsidRPr="0BCD9809">
              <w:rPr>
                <w:rFonts w:eastAsia="Arial"/>
                <w:b/>
                <w:bCs/>
                <w:color w:val="000000" w:themeColor="text1"/>
                <w:sz w:val="22"/>
                <w:szCs w:val="22"/>
              </w:rPr>
              <w:t>2</w:t>
            </w:r>
            <w:r w:rsidRPr="0BCD9809">
              <w:rPr>
                <w:rFonts w:eastAsia="Arial"/>
                <w:b/>
                <w:bCs/>
                <w:color w:val="000000" w:themeColor="text1"/>
                <w:sz w:val="22"/>
                <w:szCs w:val="22"/>
              </w:rPr>
              <w:t>: Income Bandings for existing CTR scheme</w:t>
            </w:r>
            <w:r w:rsidR="1C812A3B" w:rsidRPr="0BCD9809">
              <w:rPr>
                <w:rFonts w:eastAsia="Arial"/>
                <w:b/>
                <w:bCs/>
                <w:color w:val="000000" w:themeColor="text1"/>
                <w:sz w:val="22"/>
                <w:szCs w:val="22"/>
              </w:rPr>
              <w:t xml:space="preserve"> 2024/2</w:t>
            </w:r>
            <w:r w:rsidR="219EBC8C" w:rsidRPr="0BCD9809">
              <w:rPr>
                <w:rFonts w:eastAsia="Arial"/>
                <w:b/>
                <w:bCs/>
                <w:color w:val="000000" w:themeColor="text1"/>
                <w:sz w:val="22"/>
                <w:szCs w:val="22"/>
              </w:rPr>
              <w:t>5.</w:t>
            </w:r>
          </w:p>
        </w:tc>
        <w:tc>
          <w:tcPr>
            <w:tcW w:w="1962"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32EDA55" w14:textId="2D3B7263" w:rsidR="0BCD9809" w:rsidRDefault="0BCD9809" w:rsidP="0BCD9809">
            <w:pPr>
              <w:rPr>
                <w:rFonts w:eastAsia="Arial"/>
                <w:b/>
                <w:bCs/>
                <w:color w:val="000000" w:themeColor="text1"/>
                <w:sz w:val="22"/>
                <w:szCs w:val="22"/>
              </w:rPr>
            </w:pPr>
          </w:p>
        </w:tc>
      </w:tr>
      <w:tr w:rsidR="0BCD9809" w14:paraId="1353A0F3" w14:textId="77777777" w:rsidTr="6E2F24C0">
        <w:trPr>
          <w:trHeight w:val="300"/>
        </w:trPr>
        <w:tc>
          <w:tcPr>
            <w:tcW w:w="10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1863510" w14:textId="0827A620" w:rsidR="0BCD9809" w:rsidRDefault="0BCD9809" w:rsidP="0BCD9809">
            <w:pPr>
              <w:rPr>
                <w:rFonts w:eastAsia="Arial"/>
                <w:color w:val="000000" w:themeColor="text1"/>
                <w:sz w:val="22"/>
                <w:szCs w:val="22"/>
              </w:rPr>
            </w:pPr>
            <w:r w:rsidRPr="0BCD9809">
              <w:rPr>
                <w:rFonts w:eastAsia="Arial"/>
                <w:b/>
                <w:bCs/>
                <w:color w:val="000000" w:themeColor="text1"/>
                <w:sz w:val="22"/>
                <w:szCs w:val="22"/>
              </w:rPr>
              <w:t>Band</w:t>
            </w:r>
          </w:p>
        </w:tc>
        <w:tc>
          <w:tcPr>
            <w:tcW w:w="215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BF9995C" w14:textId="1F3D5ECA" w:rsidR="0BCD9809" w:rsidRDefault="5E491814" w:rsidP="0BCD9809">
            <w:pPr>
              <w:rPr>
                <w:rFonts w:eastAsia="Arial"/>
                <w:color w:val="000000" w:themeColor="text1"/>
                <w:sz w:val="22"/>
                <w:szCs w:val="22"/>
              </w:rPr>
            </w:pPr>
            <w:r w:rsidRPr="6E2F24C0">
              <w:rPr>
                <w:rFonts w:eastAsia="Arial"/>
                <w:b/>
                <w:bCs/>
                <w:color w:val="000000" w:themeColor="text1"/>
                <w:sz w:val="22"/>
                <w:szCs w:val="22"/>
              </w:rPr>
              <w:t xml:space="preserve">Current </w:t>
            </w:r>
            <w:r w:rsidR="2ACFC96B" w:rsidRPr="6E2F24C0">
              <w:rPr>
                <w:rFonts w:eastAsia="Arial"/>
                <w:b/>
                <w:bCs/>
                <w:color w:val="000000" w:themeColor="text1"/>
                <w:sz w:val="22"/>
                <w:szCs w:val="22"/>
              </w:rPr>
              <w:t>Weekly Income</w:t>
            </w:r>
          </w:p>
        </w:tc>
        <w:tc>
          <w:tcPr>
            <w:tcW w:w="16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4A8BCE8" w14:textId="018D0238" w:rsidR="0BCD9809" w:rsidRDefault="0BCD9809" w:rsidP="0BCD9809">
            <w:pPr>
              <w:rPr>
                <w:rFonts w:eastAsia="Arial"/>
                <w:color w:val="000000" w:themeColor="text1"/>
                <w:sz w:val="22"/>
                <w:szCs w:val="22"/>
              </w:rPr>
            </w:pPr>
            <w:r w:rsidRPr="0BCD9809">
              <w:rPr>
                <w:rFonts w:eastAsia="Arial"/>
                <w:b/>
                <w:bCs/>
                <w:color w:val="000000" w:themeColor="text1"/>
                <w:sz w:val="22"/>
                <w:szCs w:val="22"/>
              </w:rPr>
              <w:t>Discount received</w:t>
            </w:r>
          </w:p>
        </w:tc>
        <w:tc>
          <w:tcPr>
            <w:tcW w:w="25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D95D6C" w14:textId="2CFADB3E" w:rsidR="0634B3D4" w:rsidRDefault="0634B3D4" w:rsidP="0BCD9809">
            <w:pPr>
              <w:spacing w:line="259" w:lineRule="auto"/>
              <w:jc w:val="center"/>
            </w:pPr>
            <w:r w:rsidRPr="0BCD9809">
              <w:rPr>
                <w:rFonts w:eastAsia="Arial"/>
                <w:b/>
                <w:bCs/>
                <w:color w:val="000000" w:themeColor="text1"/>
                <w:sz w:val="22"/>
                <w:szCs w:val="22"/>
              </w:rPr>
              <w:t>Claims with UC and Earning currently</w:t>
            </w:r>
          </w:p>
        </w:tc>
        <w:tc>
          <w:tcPr>
            <w:tcW w:w="2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AB97BF8" w14:textId="584D9855" w:rsidR="368BE2CD" w:rsidRDefault="368BE2CD" w:rsidP="0BCD9809">
            <w:pPr>
              <w:jc w:val="center"/>
              <w:rPr>
                <w:rFonts w:eastAsia="Arial"/>
                <w:b/>
                <w:bCs/>
                <w:color w:val="000000" w:themeColor="text1"/>
                <w:sz w:val="22"/>
                <w:szCs w:val="22"/>
              </w:rPr>
            </w:pPr>
            <w:r w:rsidRPr="0BCD9809">
              <w:rPr>
                <w:rFonts w:eastAsia="Arial"/>
                <w:b/>
                <w:bCs/>
                <w:color w:val="000000" w:themeColor="text1"/>
                <w:sz w:val="22"/>
                <w:szCs w:val="22"/>
              </w:rPr>
              <w:t xml:space="preserve">Proposed </w:t>
            </w:r>
            <w:r w:rsidR="0BCD9809" w:rsidRPr="0BCD9809">
              <w:rPr>
                <w:rFonts w:eastAsia="Arial"/>
                <w:b/>
                <w:bCs/>
                <w:color w:val="000000" w:themeColor="text1"/>
                <w:sz w:val="22"/>
                <w:szCs w:val="22"/>
              </w:rPr>
              <w:t>Weekly Income</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4AA77AF" w14:textId="4FAF4A9D" w:rsidR="24CA358B" w:rsidRDefault="24CA358B" w:rsidP="0BCD9809">
            <w:pPr>
              <w:spacing w:line="259" w:lineRule="auto"/>
              <w:jc w:val="center"/>
              <w:rPr>
                <w:rFonts w:eastAsia="Arial"/>
                <w:b/>
                <w:bCs/>
                <w:color w:val="000000" w:themeColor="text1"/>
                <w:sz w:val="22"/>
                <w:szCs w:val="22"/>
              </w:rPr>
            </w:pPr>
            <w:r w:rsidRPr="0BCD9809">
              <w:rPr>
                <w:rFonts w:eastAsia="Arial"/>
                <w:b/>
                <w:bCs/>
                <w:color w:val="000000" w:themeColor="text1"/>
                <w:sz w:val="22"/>
                <w:szCs w:val="22"/>
              </w:rPr>
              <w:t>Number in each band</w:t>
            </w:r>
          </w:p>
        </w:tc>
        <w:tc>
          <w:tcPr>
            <w:tcW w:w="196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F25AED9" w14:textId="13A3584A" w:rsidR="5EAFA9EA" w:rsidRDefault="5EAFA9EA" w:rsidP="0BCD9809">
            <w:pPr>
              <w:spacing w:line="259" w:lineRule="auto"/>
              <w:jc w:val="center"/>
              <w:rPr>
                <w:rFonts w:eastAsia="Arial"/>
                <w:b/>
                <w:bCs/>
                <w:color w:val="000000" w:themeColor="text1"/>
                <w:sz w:val="22"/>
                <w:szCs w:val="22"/>
              </w:rPr>
            </w:pPr>
            <w:r w:rsidRPr="0BCD9809">
              <w:rPr>
                <w:rFonts w:eastAsia="Arial"/>
                <w:b/>
                <w:bCs/>
                <w:color w:val="000000" w:themeColor="text1"/>
                <w:sz w:val="22"/>
                <w:szCs w:val="22"/>
              </w:rPr>
              <w:t>Claim shift per band</w:t>
            </w:r>
          </w:p>
        </w:tc>
      </w:tr>
      <w:tr w:rsidR="0BCD9809" w14:paraId="558052FA" w14:textId="77777777" w:rsidTr="6E2F24C0">
        <w:trPr>
          <w:trHeight w:val="300"/>
        </w:trPr>
        <w:tc>
          <w:tcPr>
            <w:tcW w:w="10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ED44775" w14:textId="529F2F2D"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1</w:t>
            </w:r>
          </w:p>
        </w:tc>
        <w:tc>
          <w:tcPr>
            <w:tcW w:w="215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3186ACD" w14:textId="3A4E8E4B" w:rsidR="0BCD9809" w:rsidRDefault="0BCD9809" w:rsidP="0BCD9809">
            <w:pPr>
              <w:rPr>
                <w:rFonts w:eastAsia="Arial"/>
                <w:color w:val="000000" w:themeColor="text1"/>
                <w:sz w:val="22"/>
                <w:szCs w:val="22"/>
              </w:rPr>
            </w:pPr>
            <w:r w:rsidRPr="0BCD9809">
              <w:rPr>
                <w:rFonts w:eastAsia="Arial"/>
                <w:color w:val="000000" w:themeColor="text1"/>
                <w:sz w:val="22"/>
                <w:szCs w:val="22"/>
              </w:rPr>
              <w:t>£0 - £184.00</w:t>
            </w:r>
          </w:p>
        </w:tc>
        <w:tc>
          <w:tcPr>
            <w:tcW w:w="16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60A238F" w14:textId="50BB236C"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100%</w:t>
            </w:r>
          </w:p>
        </w:tc>
        <w:tc>
          <w:tcPr>
            <w:tcW w:w="25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15D1B9D" w14:textId="45E66146" w:rsidR="4FFCC175" w:rsidRDefault="4FFCC175" w:rsidP="0BCD9809">
            <w:pPr>
              <w:jc w:val="center"/>
              <w:rPr>
                <w:rFonts w:eastAsia="Arial"/>
                <w:color w:val="000000" w:themeColor="text1"/>
                <w:sz w:val="22"/>
                <w:szCs w:val="22"/>
              </w:rPr>
            </w:pPr>
            <w:r w:rsidRPr="0BCD9809">
              <w:rPr>
                <w:rFonts w:eastAsia="Arial"/>
                <w:color w:val="000000" w:themeColor="text1"/>
                <w:sz w:val="22"/>
                <w:szCs w:val="22"/>
              </w:rPr>
              <w:t>1545</w:t>
            </w:r>
          </w:p>
        </w:tc>
        <w:tc>
          <w:tcPr>
            <w:tcW w:w="2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311C17A" w14:textId="35A05F0C" w:rsidR="0BCD9809" w:rsidRDefault="0BCD9809" w:rsidP="0BCD9809">
            <w:pPr>
              <w:rPr>
                <w:rFonts w:eastAsia="Arial"/>
                <w:color w:val="000000" w:themeColor="text1"/>
                <w:sz w:val="22"/>
                <w:szCs w:val="22"/>
              </w:rPr>
            </w:pPr>
            <w:r w:rsidRPr="0BCD9809">
              <w:rPr>
                <w:rFonts w:eastAsia="Arial"/>
                <w:color w:val="000000" w:themeColor="text1"/>
                <w:sz w:val="22"/>
                <w:szCs w:val="22"/>
              </w:rPr>
              <w:t>£0 - £</w:t>
            </w:r>
            <w:r w:rsidR="2FBA962A" w:rsidRPr="0BCD9809">
              <w:rPr>
                <w:rFonts w:eastAsia="Arial"/>
                <w:color w:val="000000" w:themeColor="text1"/>
                <w:sz w:val="22"/>
                <w:szCs w:val="22"/>
              </w:rPr>
              <w:t>600</w:t>
            </w:r>
            <w:r w:rsidRPr="0BCD9809">
              <w:rPr>
                <w:rFonts w:eastAsia="Arial"/>
                <w:color w:val="000000" w:themeColor="text1"/>
                <w:sz w:val="22"/>
                <w:szCs w:val="22"/>
              </w:rPr>
              <w:t>.00</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D589FB4" w14:textId="4768ED67" w:rsidR="17264B6C" w:rsidRDefault="17264B6C" w:rsidP="0BCD9809">
            <w:pPr>
              <w:jc w:val="center"/>
              <w:rPr>
                <w:rFonts w:eastAsia="Arial"/>
                <w:color w:val="000000" w:themeColor="text1"/>
                <w:sz w:val="22"/>
                <w:szCs w:val="22"/>
              </w:rPr>
            </w:pPr>
            <w:r w:rsidRPr="0BCD9809">
              <w:rPr>
                <w:rFonts w:eastAsia="Arial"/>
                <w:color w:val="000000" w:themeColor="text1"/>
                <w:sz w:val="22"/>
                <w:szCs w:val="22"/>
              </w:rPr>
              <w:t>15</w:t>
            </w:r>
            <w:r w:rsidR="796181AA" w:rsidRPr="0BCD9809">
              <w:rPr>
                <w:rFonts w:eastAsia="Arial"/>
                <w:color w:val="000000" w:themeColor="text1"/>
                <w:sz w:val="22"/>
                <w:szCs w:val="22"/>
              </w:rPr>
              <w:t>80</w:t>
            </w:r>
          </w:p>
        </w:tc>
        <w:tc>
          <w:tcPr>
            <w:tcW w:w="196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48DF744" w14:textId="3DFA512B" w:rsidR="30F30F9D" w:rsidRDefault="30F30F9D" w:rsidP="0BCD9809">
            <w:pPr>
              <w:jc w:val="center"/>
              <w:rPr>
                <w:rFonts w:eastAsia="Arial"/>
                <w:color w:val="000000" w:themeColor="text1"/>
                <w:sz w:val="22"/>
                <w:szCs w:val="22"/>
              </w:rPr>
            </w:pPr>
            <w:r w:rsidRPr="0BCD9809">
              <w:rPr>
                <w:rFonts w:eastAsia="Arial"/>
                <w:color w:val="000000" w:themeColor="text1"/>
                <w:sz w:val="22"/>
                <w:szCs w:val="22"/>
              </w:rPr>
              <w:t>+3</w:t>
            </w:r>
            <w:r w:rsidR="09A94A09" w:rsidRPr="0BCD9809">
              <w:rPr>
                <w:rFonts w:eastAsia="Arial"/>
                <w:color w:val="000000" w:themeColor="text1"/>
                <w:sz w:val="22"/>
                <w:szCs w:val="22"/>
              </w:rPr>
              <w:t>5</w:t>
            </w:r>
          </w:p>
        </w:tc>
      </w:tr>
      <w:tr w:rsidR="0BCD9809" w14:paraId="01C7A686" w14:textId="77777777" w:rsidTr="6E2F24C0">
        <w:trPr>
          <w:trHeight w:val="300"/>
        </w:trPr>
        <w:tc>
          <w:tcPr>
            <w:tcW w:w="10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A8B2A8" w14:textId="309A9A9C"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2</w:t>
            </w:r>
          </w:p>
        </w:tc>
        <w:tc>
          <w:tcPr>
            <w:tcW w:w="215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B7D23A3" w14:textId="314F1ACE" w:rsidR="0BCD9809" w:rsidRDefault="0BCD9809" w:rsidP="0BCD9809">
            <w:pPr>
              <w:rPr>
                <w:rFonts w:eastAsia="Arial"/>
                <w:color w:val="000000" w:themeColor="text1"/>
                <w:sz w:val="22"/>
                <w:szCs w:val="22"/>
              </w:rPr>
            </w:pPr>
            <w:r w:rsidRPr="0BCD9809">
              <w:rPr>
                <w:rFonts w:eastAsia="Arial"/>
                <w:color w:val="000000" w:themeColor="text1"/>
                <w:sz w:val="22"/>
                <w:szCs w:val="22"/>
              </w:rPr>
              <w:t>£184.01 - £275.00</w:t>
            </w:r>
          </w:p>
        </w:tc>
        <w:tc>
          <w:tcPr>
            <w:tcW w:w="16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7B89FF1" w14:textId="2145DDF6"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75%</w:t>
            </w:r>
          </w:p>
        </w:tc>
        <w:tc>
          <w:tcPr>
            <w:tcW w:w="25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A1B341E" w14:textId="4D05A9BA" w:rsidR="79544A9D" w:rsidRDefault="79544A9D" w:rsidP="0BCD9809">
            <w:pPr>
              <w:jc w:val="center"/>
              <w:rPr>
                <w:rFonts w:eastAsia="Arial"/>
                <w:color w:val="000000" w:themeColor="text1"/>
                <w:sz w:val="22"/>
                <w:szCs w:val="22"/>
              </w:rPr>
            </w:pPr>
            <w:r w:rsidRPr="0BCD9809">
              <w:rPr>
                <w:rFonts w:eastAsia="Arial"/>
                <w:color w:val="000000" w:themeColor="text1"/>
                <w:sz w:val="22"/>
                <w:szCs w:val="22"/>
              </w:rPr>
              <w:t>451</w:t>
            </w:r>
          </w:p>
        </w:tc>
        <w:tc>
          <w:tcPr>
            <w:tcW w:w="2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5DD53B1" w14:textId="151F9687" w:rsidR="0BCD9809" w:rsidRDefault="0BCD9809" w:rsidP="0BCD9809">
            <w:pPr>
              <w:rPr>
                <w:rFonts w:eastAsia="Arial"/>
                <w:color w:val="000000" w:themeColor="text1"/>
                <w:sz w:val="22"/>
                <w:szCs w:val="22"/>
              </w:rPr>
            </w:pPr>
            <w:r w:rsidRPr="0BCD9809">
              <w:rPr>
                <w:rFonts w:eastAsia="Arial"/>
                <w:color w:val="000000" w:themeColor="text1"/>
                <w:sz w:val="22"/>
                <w:szCs w:val="22"/>
              </w:rPr>
              <w:t>£</w:t>
            </w:r>
            <w:r w:rsidR="71EBD282" w:rsidRPr="0BCD9809">
              <w:rPr>
                <w:rFonts w:eastAsia="Arial"/>
                <w:color w:val="000000" w:themeColor="text1"/>
                <w:sz w:val="22"/>
                <w:szCs w:val="22"/>
              </w:rPr>
              <w:t>600</w:t>
            </w:r>
            <w:r w:rsidRPr="0BCD9809">
              <w:rPr>
                <w:rFonts w:eastAsia="Arial"/>
                <w:color w:val="000000" w:themeColor="text1"/>
                <w:sz w:val="22"/>
                <w:szCs w:val="22"/>
              </w:rPr>
              <w:t>.01 - £</w:t>
            </w:r>
            <w:r w:rsidR="6B8D4F18" w:rsidRPr="0BCD9809">
              <w:rPr>
                <w:rFonts w:eastAsia="Arial"/>
                <w:color w:val="000000" w:themeColor="text1"/>
                <w:sz w:val="22"/>
                <w:szCs w:val="22"/>
              </w:rPr>
              <w:t>750</w:t>
            </w:r>
            <w:r w:rsidRPr="0BCD9809">
              <w:rPr>
                <w:rFonts w:eastAsia="Arial"/>
                <w:color w:val="000000" w:themeColor="text1"/>
                <w:sz w:val="22"/>
                <w:szCs w:val="22"/>
              </w:rPr>
              <w:t>.00</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B0FAC81" w14:textId="41C8F0EC" w:rsidR="384BDCB2" w:rsidRDefault="384BDCB2" w:rsidP="0BCD9809">
            <w:pPr>
              <w:jc w:val="center"/>
              <w:rPr>
                <w:rFonts w:eastAsia="Arial"/>
                <w:color w:val="000000" w:themeColor="text1"/>
                <w:sz w:val="22"/>
                <w:szCs w:val="22"/>
              </w:rPr>
            </w:pPr>
            <w:r w:rsidRPr="0BCD9809">
              <w:rPr>
                <w:rFonts w:eastAsia="Arial"/>
                <w:color w:val="000000" w:themeColor="text1"/>
                <w:sz w:val="22"/>
                <w:szCs w:val="22"/>
              </w:rPr>
              <w:t>435</w:t>
            </w:r>
          </w:p>
        </w:tc>
        <w:tc>
          <w:tcPr>
            <w:tcW w:w="196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406C35D" w14:textId="33DAEEF1" w:rsidR="41737A02" w:rsidRDefault="41737A02" w:rsidP="0BCD9809">
            <w:pPr>
              <w:jc w:val="center"/>
              <w:rPr>
                <w:rFonts w:eastAsia="Arial"/>
                <w:color w:val="000000" w:themeColor="text1"/>
                <w:sz w:val="22"/>
                <w:szCs w:val="22"/>
              </w:rPr>
            </w:pPr>
            <w:r w:rsidRPr="0BCD9809">
              <w:rPr>
                <w:rFonts w:eastAsia="Arial"/>
                <w:color w:val="000000" w:themeColor="text1"/>
                <w:sz w:val="22"/>
                <w:szCs w:val="22"/>
              </w:rPr>
              <w:t>-16</w:t>
            </w:r>
          </w:p>
        </w:tc>
      </w:tr>
      <w:tr w:rsidR="0BCD9809" w14:paraId="2C4CC001" w14:textId="77777777" w:rsidTr="6E2F24C0">
        <w:trPr>
          <w:trHeight w:val="300"/>
        </w:trPr>
        <w:tc>
          <w:tcPr>
            <w:tcW w:w="10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2BC44A6" w14:textId="25EE6F6D"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3</w:t>
            </w:r>
          </w:p>
        </w:tc>
        <w:tc>
          <w:tcPr>
            <w:tcW w:w="215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220E4F5" w14:textId="4BBC6D8D" w:rsidR="0BCD9809" w:rsidRDefault="0BCD9809" w:rsidP="0BCD9809">
            <w:pPr>
              <w:rPr>
                <w:rFonts w:eastAsia="Arial"/>
                <w:color w:val="000000" w:themeColor="text1"/>
                <w:sz w:val="22"/>
                <w:szCs w:val="22"/>
              </w:rPr>
            </w:pPr>
            <w:r w:rsidRPr="0BCD9809">
              <w:rPr>
                <w:rFonts w:eastAsia="Arial"/>
                <w:color w:val="000000" w:themeColor="text1"/>
                <w:sz w:val="22"/>
                <w:szCs w:val="22"/>
              </w:rPr>
              <w:t>£275.01 - £375.00</w:t>
            </w:r>
          </w:p>
        </w:tc>
        <w:tc>
          <w:tcPr>
            <w:tcW w:w="16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6A82FF" w14:textId="01F47F6F"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50%</w:t>
            </w:r>
          </w:p>
        </w:tc>
        <w:tc>
          <w:tcPr>
            <w:tcW w:w="25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CD674DF" w14:textId="67693A53" w:rsidR="5BCAF9C0" w:rsidRDefault="5BCAF9C0" w:rsidP="0BCD9809">
            <w:pPr>
              <w:jc w:val="center"/>
              <w:rPr>
                <w:rFonts w:eastAsia="Arial"/>
                <w:color w:val="000000" w:themeColor="text1"/>
                <w:sz w:val="22"/>
                <w:szCs w:val="22"/>
              </w:rPr>
            </w:pPr>
            <w:r w:rsidRPr="0BCD9809">
              <w:rPr>
                <w:rFonts w:eastAsia="Arial"/>
                <w:color w:val="000000" w:themeColor="text1"/>
                <w:sz w:val="22"/>
                <w:szCs w:val="22"/>
              </w:rPr>
              <w:t>153</w:t>
            </w:r>
          </w:p>
        </w:tc>
        <w:tc>
          <w:tcPr>
            <w:tcW w:w="2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C53C80C" w14:textId="48D740C5" w:rsidR="0BCD9809" w:rsidRDefault="0BCD9809" w:rsidP="0BCD9809">
            <w:pPr>
              <w:rPr>
                <w:rFonts w:eastAsia="Arial"/>
                <w:color w:val="000000" w:themeColor="text1"/>
                <w:sz w:val="22"/>
                <w:szCs w:val="22"/>
              </w:rPr>
            </w:pPr>
            <w:r w:rsidRPr="0BCD9809">
              <w:rPr>
                <w:rFonts w:eastAsia="Arial"/>
                <w:color w:val="000000" w:themeColor="text1"/>
                <w:sz w:val="22"/>
                <w:szCs w:val="22"/>
              </w:rPr>
              <w:t>£</w:t>
            </w:r>
            <w:r w:rsidR="1110DC3D" w:rsidRPr="0BCD9809">
              <w:rPr>
                <w:rFonts w:eastAsia="Arial"/>
                <w:color w:val="000000" w:themeColor="text1"/>
                <w:sz w:val="22"/>
                <w:szCs w:val="22"/>
              </w:rPr>
              <w:t>750</w:t>
            </w:r>
            <w:r w:rsidRPr="0BCD9809">
              <w:rPr>
                <w:rFonts w:eastAsia="Arial"/>
                <w:color w:val="000000" w:themeColor="text1"/>
                <w:sz w:val="22"/>
                <w:szCs w:val="22"/>
              </w:rPr>
              <w:t>.01 - £</w:t>
            </w:r>
            <w:r w:rsidR="70F43439" w:rsidRPr="0BCD9809">
              <w:rPr>
                <w:rFonts w:eastAsia="Arial"/>
                <w:color w:val="000000" w:themeColor="text1"/>
                <w:sz w:val="22"/>
                <w:szCs w:val="22"/>
              </w:rPr>
              <w:t>850</w:t>
            </w:r>
            <w:r w:rsidRPr="0BCD9809">
              <w:rPr>
                <w:rFonts w:eastAsia="Arial"/>
                <w:color w:val="000000" w:themeColor="text1"/>
                <w:sz w:val="22"/>
                <w:szCs w:val="22"/>
              </w:rPr>
              <w:t>.00</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7AF7528" w14:textId="2DE05D27" w:rsidR="108C4F2F" w:rsidRDefault="108C4F2F" w:rsidP="0BCD9809">
            <w:pPr>
              <w:jc w:val="center"/>
              <w:rPr>
                <w:rFonts w:eastAsia="Arial"/>
                <w:color w:val="000000" w:themeColor="text1"/>
                <w:sz w:val="22"/>
                <w:szCs w:val="22"/>
              </w:rPr>
            </w:pPr>
            <w:r w:rsidRPr="0BCD9809">
              <w:rPr>
                <w:rFonts w:eastAsia="Arial"/>
                <w:color w:val="000000" w:themeColor="text1"/>
                <w:sz w:val="22"/>
                <w:szCs w:val="22"/>
              </w:rPr>
              <w:t>104</w:t>
            </w:r>
          </w:p>
        </w:tc>
        <w:tc>
          <w:tcPr>
            <w:tcW w:w="196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082DC80" w14:textId="4425679D" w:rsidR="6A981D83" w:rsidRDefault="6A981D83" w:rsidP="0BCD9809">
            <w:pPr>
              <w:jc w:val="center"/>
              <w:rPr>
                <w:rFonts w:eastAsia="Arial"/>
                <w:color w:val="000000" w:themeColor="text1"/>
                <w:sz w:val="22"/>
                <w:szCs w:val="22"/>
              </w:rPr>
            </w:pPr>
            <w:r w:rsidRPr="0BCD9809">
              <w:rPr>
                <w:rFonts w:eastAsia="Arial"/>
                <w:color w:val="000000" w:themeColor="text1"/>
                <w:sz w:val="22"/>
                <w:szCs w:val="22"/>
              </w:rPr>
              <w:t>-49</w:t>
            </w:r>
          </w:p>
        </w:tc>
      </w:tr>
      <w:tr w:rsidR="0BCD9809" w14:paraId="6D94822C" w14:textId="77777777" w:rsidTr="6E2F24C0">
        <w:trPr>
          <w:trHeight w:val="300"/>
        </w:trPr>
        <w:tc>
          <w:tcPr>
            <w:tcW w:w="10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5A5F839" w14:textId="11444257"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4</w:t>
            </w:r>
          </w:p>
        </w:tc>
        <w:tc>
          <w:tcPr>
            <w:tcW w:w="215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C28239E" w14:textId="6D777978" w:rsidR="0BCD9809" w:rsidRDefault="0BCD9809" w:rsidP="0BCD9809">
            <w:pPr>
              <w:rPr>
                <w:rFonts w:eastAsia="Arial"/>
                <w:color w:val="000000" w:themeColor="text1"/>
                <w:sz w:val="22"/>
                <w:szCs w:val="22"/>
              </w:rPr>
            </w:pPr>
            <w:r w:rsidRPr="0BCD9809">
              <w:rPr>
                <w:rFonts w:eastAsia="Arial"/>
                <w:color w:val="000000" w:themeColor="text1"/>
                <w:sz w:val="22"/>
                <w:szCs w:val="22"/>
              </w:rPr>
              <w:t>£375.01 - £452.00</w:t>
            </w:r>
          </w:p>
        </w:tc>
        <w:tc>
          <w:tcPr>
            <w:tcW w:w="16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ED124EE" w14:textId="419503EB"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25%</w:t>
            </w:r>
          </w:p>
        </w:tc>
        <w:tc>
          <w:tcPr>
            <w:tcW w:w="25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3FB1060" w14:textId="763886D1" w:rsidR="6B1D586C" w:rsidRDefault="6B1D586C" w:rsidP="0BCD9809">
            <w:pPr>
              <w:jc w:val="center"/>
              <w:rPr>
                <w:rFonts w:eastAsia="Arial"/>
                <w:color w:val="000000" w:themeColor="text1"/>
                <w:sz w:val="22"/>
                <w:szCs w:val="22"/>
              </w:rPr>
            </w:pPr>
            <w:r w:rsidRPr="0BCD9809">
              <w:rPr>
                <w:rFonts w:eastAsia="Arial"/>
                <w:color w:val="000000" w:themeColor="text1"/>
                <w:sz w:val="22"/>
                <w:szCs w:val="22"/>
              </w:rPr>
              <w:t>23</w:t>
            </w:r>
          </w:p>
        </w:tc>
        <w:tc>
          <w:tcPr>
            <w:tcW w:w="2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CE11B3C" w14:textId="7F5448B0" w:rsidR="0BCD9809" w:rsidRDefault="0BCD9809" w:rsidP="0BCD9809">
            <w:pPr>
              <w:rPr>
                <w:rFonts w:eastAsia="Arial"/>
                <w:color w:val="000000" w:themeColor="text1"/>
                <w:sz w:val="22"/>
                <w:szCs w:val="22"/>
              </w:rPr>
            </w:pPr>
            <w:r w:rsidRPr="0BCD9809">
              <w:rPr>
                <w:rFonts w:eastAsia="Arial"/>
                <w:color w:val="000000" w:themeColor="text1"/>
                <w:sz w:val="22"/>
                <w:szCs w:val="22"/>
              </w:rPr>
              <w:t>£</w:t>
            </w:r>
            <w:r w:rsidR="456BA2C3" w:rsidRPr="0BCD9809">
              <w:rPr>
                <w:rFonts w:eastAsia="Arial"/>
                <w:color w:val="000000" w:themeColor="text1"/>
                <w:sz w:val="22"/>
                <w:szCs w:val="22"/>
              </w:rPr>
              <w:t>850</w:t>
            </w:r>
            <w:r w:rsidRPr="0BCD9809">
              <w:rPr>
                <w:rFonts w:eastAsia="Arial"/>
                <w:color w:val="000000" w:themeColor="text1"/>
                <w:sz w:val="22"/>
                <w:szCs w:val="22"/>
              </w:rPr>
              <w:t>.01 - £</w:t>
            </w:r>
            <w:r w:rsidR="480B4799" w:rsidRPr="0BCD9809">
              <w:rPr>
                <w:rFonts w:eastAsia="Arial"/>
                <w:color w:val="000000" w:themeColor="text1"/>
                <w:sz w:val="22"/>
                <w:szCs w:val="22"/>
              </w:rPr>
              <w:t>1000</w:t>
            </w:r>
            <w:r w:rsidRPr="0BCD9809">
              <w:rPr>
                <w:rFonts w:eastAsia="Arial"/>
                <w:color w:val="000000" w:themeColor="text1"/>
                <w:sz w:val="22"/>
                <w:szCs w:val="22"/>
              </w:rPr>
              <w:t>.00</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7D4B5B0" w14:textId="1774089C" w:rsidR="4265C65C" w:rsidRDefault="4265C65C" w:rsidP="0BCD9809">
            <w:pPr>
              <w:jc w:val="center"/>
              <w:rPr>
                <w:rFonts w:eastAsia="Arial"/>
                <w:color w:val="000000" w:themeColor="text1"/>
                <w:sz w:val="22"/>
                <w:szCs w:val="22"/>
              </w:rPr>
            </w:pPr>
            <w:r w:rsidRPr="0BCD9809">
              <w:rPr>
                <w:rFonts w:eastAsia="Arial"/>
                <w:color w:val="000000" w:themeColor="text1"/>
                <w:sz w:val="22"/>
                <w:szCs w:val="22"/>
              </w:rPr>
              <w:t>51</w:t>
            </w:r>
          </w:p>
        </w:tc>
        <w:tc>
          <w:tcPr>
            <w:tcW w:w="196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9087B0E" w14:textId="189AD3DD" w:rsidR="509274F0" w:rsidRDefault="509274F0" w:rsidP="0BCD9809">
            <w:pPr>
              <w:jc w:val="center"/>
              <w:rPr>
                <w:rFonts w:eastAsia="Arial"/>
                <w:color w:val="000000" w:themeColor="text1"/>
                <w:sz w:val="22"/>
                <w:szCs w:val="22"/>
              </w:rPr>
            </w:pPr>
            <w:r w:rsidRPr="0BCD9809">
              <w:rPr>
                <w:rFonts w:eastAsia="Arial"/>
                <w:color w:val="000000" w:themeColor="text1"/>
                <w:sz w:val="22"/>
                <w:szCs w:val="22"/>
              </w:rPr>
              <w:t>+28</w:t>
            </w:r>
          </w:p>
        </w:tc>
      </w:tr>
      <w:tr w:rsidR="0BCD9809" w14:paraId="5D1C7ED0" w14:textId="77777777" w:rsidTr="6E2F24C0">
        <w:trPr>
          <w:trHeight w:val="300"/>
        </w:trPr>
        <w:tc>
          <w:tcPr>
            <w:tcW w:w="10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E4F4E21" w14:textId="06A86EE2"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5</w:t>
            </w:r>
          </w:p>
        </w:tc>
        <w:tc>
          <w:tcPr>
            <w:tcW w:w="215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FAC1A99" w14:textId="283EB735" w:rsidR="0BCD9809" w:rsidRDefault="0BCD9809" w:rsidP="0BCD9809">
            <w:pPr>
              <w:rPr>
                <w:rFonts w:eastAsia="Arial"/>
                <w:color w:val="000000" w:themeColor="text1"/>
                <w:sz w:val="22"/>
                <w:szCs w:val="22"/>
              </w:rPr>
            </w:pPr>
            <w:r w:rsidRPr="0BCD9809">
              <w:rPr>
                <w:rFonts w:eastAsia="Arial"/>
                <w:color w:val="000000" w:themeColor="text1"/>
                <w:sz w:val="22"/>
                <w:szCs w:val="22"/>
              </w:rPr>
              <w:t>£452.01 and above</w:t>
            </w:r>
          </w:p>
        </w:tc>
        <w:tc>
          <w:tcPr>
            <w:tcW w:w="16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F270B35" w14:textId="1583735D"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0%</w:t>
            </w:r>
          </w:p>
        </w:tc>
        <w:tc>
          <w:tcPr>
            <w:tcW w:w="25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75A72D9" w14:textId="1C380397" w:rsidR="4C006480" w:rsidRDefault="4C006480" w:rsidP="0BCD9809">
            <w:pPr>
              <w:jc w:val="center"/>
              <w:rPr>
                <w:rFonts w:eastAsia="Arial"/>
                <w:color w:val="000000" w:themeColor="text1"/>
                <w:sz w:val="22"/>
                <w:szCs w:val="22"/>
              </w:rPr>
            </w:pPr>
            <w:r w:rsidRPr="0BCD9809">
              <w:rPr>
                <w:rFonts w:eastAsia="Arial"/>
                <w:color w:val="000000" w:themeColor="text1"/>
                <w:sz w:val="22"/>
                <w:szCs w:val="22"/>
              </w:rPr>
              <w:t>17</w:t>
            </w:r>
          </w:p>
        </w:tc>
        <w:tc>
          <w:tcPr>
            <w:tcW w:w="2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2DD9607" w14:textId="1C25673D" w:rsidR="0BCD9809" w:rsidRDefault="0BCD9809" w:rsidP="0BCD9809">
            <w:pPr>
              <w:rPr>
                <w:rFonts w:eastAsia="Arial"/>
                <w:color w:val="000000" w:themeColor="text1"/>
                <w:sz w:val="22"/>
                <w:szCs w:val="22"/>
              </w:rPr>
            </w:pPr>
            <w:r w:rsidRPr="0BCD9809">
              <w:rPr>
                <w:rFonts w:eastAsia="Arial"/>
                <w:color w:val="000000" w:themeColor="text1"/>
                <w:sz w:val="22"/>
                <w:szCs w:val="22"/>
              </w:rPr>
              <w:t>£</w:t>
            </w:r>
            <w:r w:rsidR="22D1F9EA" w:rsidRPr="0BCD9809">
              <w:rPr>
                <w:rFonts w:eastAsia="Arial"/>
                <w:color w:val="000000" w:themeColor="text1"/>
                <w:sz w:val="22"/>
                <w:szCs w:val="22"/>
              </w:rPr>
              <w:t>1000</w:t>
            </w:r>
            <w:r w:rsidRPr="0BCD9809">
              <w:rPr>
                <w:rFonts w:eastAsia="Arial"/>
                <w:color w:val="000000" w:themeColor="text1"/>
                <w:sz w:val="22"/>
                <w:szCs w:val="22"/>
              </w:rPr>
              <w:t>.01 and above</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31C3846" w14:textId="10410C34" w:rsidR="23CDF25E" w:rsidRDefault="23CDF25E" w:rsidP="0BCD9809">
            <w:pPr>
              <w:jc w:val="center"/>
              <w:rPr>
                <w:rFonts w:eastAsia="Arial"/>
                <w:color w:val="000000" w:themeColor="text1"/>
                <w:sz w:val="22"/>
                <w:szCs w:val="22"/>
              </w:rPr>
            </w:pPr>
            <w:r w:rsidRPr="0BCD9809">
              <w:rPr>
                <w:rFonts w:eastAsia="Arial"/>
                <w:color w:val="000000" w:themeColor="text1"/>
                <w:sz w:val="22"/>
                <w:szCs w:val="22"/>
              </w:rPr>
              <w:t>1</w:t>
            </w:r>
            <w:r w:rsidR="05747586" w:rsidRPr="0BCD9809">
              <w:rPr>
                <w:rFonts w:eastAsia="Arial"/>
                <w:color w:val="000000" w:themeColor="text1"/>
                <w:sz w:val="22"/>
                <w:szCs w:val="22"/>
              </w:rPr>
              <w:t>9</w:t>
            </w:r>
          </w:p>
        </w:tc>
        <w:tc>
          <w:tcPr>
            <w:tcW w:w="196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57A90A5" w14:textId="5D3A0CDD" w:rsidR="05747586" w:rsidRDefault="05747586" w:rsidP="0BCD9809">
            <w:pPr>
              <w:jc w:val="center"/>
              <w:rPr>
                <w:rFonts w:eastAsia="Arial"/>
                <w:color w:val="000000" w:themeColor="text1"/>
                <w:sz w:val="22"/>
                <w:szCs w:val="22"/>
              </w:rPr>
            </w:pPr>
            <w:r w:rsidRPr="0BCD9809">
              <w:rPr>
                <w:rFonts w:eastAsia="Arial"/>
                <w:color w:val="000000" w:themeColor="text1"/>
                <w:sz w:val="22"/>
                <w:szCs w:val="22"/>
              </w:rPr>
              <w:t>-2</w:t>
            </w:r>
          </w:p>
        </w:tc>
      </w:tr>
    </w:tbl>
    <w:p w14:paraId="3DC28B4C" w14:textId="0F4F18C6" w:rsidR="00986D14" w:rsidRPr="00FE1E98" w:rsidRDefault="00986D14" w:rsidP="0BCD9809">
      <w:pPr>
        <w:pStyle w:val="ListParagraph"/>
        <w:spacing w:after="200" w:line="276" w:lineRule="auto"/>
        <w:rPr>
          <w:b/>
          <w:bCs/>
        </w:rPr>
      </w:pPr>
    </w:p>
    <w:p w14:paraId="6564D208" w14:textId="4078634A" w:rsidR="1AB8AF1D" w:rsidRDefault="1AB8AF1D" w:rsidP="1AB8AF1D">
      <w:pPr>
        <w:pStyle w:val="ListParagraph"/>
        <w:spacing w:after="200" w:line="276" w:lineRule="auto"/>
        <w:rPr>
          <w:u w:val="single"/>
        </w:rPr>
      </w:pPr>
    </w:p>
    <w:p w14:paraId="0095FFF7" w14:textId="77777777" w:rsidR="00CB44F5" w:rsidRDefault="00CB44F5" w:rsidP="1AB8AF1D">
      <w:pPr>
        <w:pStyle w:val="ListParagraph"/>
        <w:spacing w:after="200" w:line="276" w:lineRule="auto"/>
        <w:rPr>
          <w:u w:val="single"/>
        </w:rPr>
      </w:pPr>
    </w:p>
    <w:p w14:paraId="4FA18895" w14:textId="77777777" w:rsidR="00CB44F5" w:rsidRDefault="00CB44F5" w:rsidP="1AB8AF1D">
      <w:pPr>
        <w:pStyle w:val="ListParagraph"/>
        <w:spacing w:after="200" w:line="276" w:lineRule="auto"/>
        <w:rPr>
          <w:u w:val="single"/>
        </w:rPr>
      </w:pPr>
    </w:p>
    <w:p w14:paraId="726E03FF" w14:textId="77777777" w:rsidR="00CB44F5" w:rsidRDefault="00CB44F5" w:rsidP="1AB8AF1D">
      <w:pPr>
        <w:pStyle w:val="ListParagraph"/>
        <w:spacing w:after="200" w:line="276" w:lineRule="auto"/>
        <w:rPr>
          <w:u w:val="single"/>
        </w:rPr>
      </w:pPr>
    </w:p>
    <w:p w14:paraId="59A43EA7" w14:textId="0301AD9D" w:rsidR="6882CDFE" w:rsidRDefault="6882CDFE" w:rsidP="1AB8AF1D">
      <w:pPr>
        <w:pStyle w:val="ListParagraph"/>
        <w:spacing w:after="200" w:line="276" w:lineRule="auto"/>
        <w:rPr>
          <w:u w:val="single"/>
        </w:rPr>
      </w:pPr>
      <w:r w:rsidRPr="1AB8AF1D">
        <w:rPr>
          <w:u w:val="single"/>
        </w:rPr>
        <w:lastRenderedPageBreak/>
        <w:t>Example</w:t>
      </w:r>
    </w:p>
    <w:p w14:paraId="27AB09AE" w14:textId="298DAD9B" w:rsidR="6882CDFE" w:rsidRDefault="6882CDFE" w:rsidP="1AB8AF1D">
      <w:pPr>
        <w:pStyle w:val="ListParagraph"/>
        <w:spacing w:after="200" w:line="276" w:lineRule="auto"/>
        <w:rPr>
          <w:i/>
          <w:iCs/>
        </w:rPr>
      </w:pPr>
      <w:r w:rsidRPr="1AB8AF1D">
        <w:rPr>
          <w:i/>
          <w:iCs/>
        </w:rPr>
        <w:t>Income</w:t>
      </w:r>
      <w:r>
        <w:tab/>
      </w:r>
      <w:r>
        <w:tab/>
      </w:r>
      <w:r w:rsidRPr="1AB8AF1D">
        <w:rPr>
          <w:i/>
          <w:iCs/>
        </w:rPr>
        <w:t xml:space="preserve">UC of £100 per week and </w:t>
      </w:r>
      <w:r w:rsidR="2F3C4559" w:rsidRPr="1AB8AF1D">
        <w:rPr>
          <w:i/>
          <w:iCs/>
        </w:rPr>
        <w:t>Earnings</w:t>
      </w:r>
      <w:r w:rsidRPr="1AB8AF1D">
        <w:rPr>
          <w:i/>
          <w:iCs/>
        </w:rPr>
        <w:t xml:space="preserve"> of £500</w:t>
      </w:r>
    </w:p>
    <w:p w14:paraId="4A55C3EF" w14:textId="3BD064EB" w:rsidR="1AB8AF1D" w:rsidRDefault="1AB8AF1D" w:rsidP="1AB8AF1D">
      <w:pPr>
        <w:pStyle w:val="ListParagraph"/>
        <w:spacing w:after="200" w:line="276" w:lineRule="auto"/>
      </w:pPr>
    </w:p>
    <w:p w14:paraId="1DD931A7" w14:textId="58D5F7A7" w:rsidR="6882CDFE" w:rsidRDefault="6882CDFE" w:rsidP="1AB8AF1D">
      <w:pPr>
        <w:pStyle w:val="ListParagraph"/>
        <w:spacing w:after="200" w:line="276" w:lineRule="auto"/>
        <w:rPr>
          <w:i/>
          <w:iCs/>
        </w:rPr>
      </w:pPr>
      <w:r w:rsidRPr="00CB44F5">
        <w:rPr>
          <w:b/>
          <w:bCs/>
          <w:i/>
          <w:iCs/>
        </w:rPr>
        <w:t>Current Scheme</w:t>
      </w:r>
      <w:r w:rsidRPr="00CB44F5">
        <w:rPr>
          <w:b/>
          <w:bCs/>
        </w:rPr>
        <w:tab/>
      </w:r>
      <w:r w:rsidRPr="1AB8AF1D">
        <w:rPr>
          <w:i/>
          <w:iCs/>
        </w:rPr>
        <w:t>£100 would be used in the assessment of income for CTR</w:t>
      </w:r>
      <w:r w:rsidR="00CB44F5">
        <w:rPr>
          <w:i/>
          <w:iCs/>
        </w:rPr>
        <w:t xml:space="preserve"> and 100% discount </w:t>
      </w:r>
      <w:proofErr w:type="gramStart"/>
      <w:r w:rsidR="00CB44F5">
        <w:rPr>
          <w:i/>
          <w:iCs/>
        </w:rPr>
        <w:t>awarded</w:t>
      </w:r>
      <w:proofErr w:type="gramEnd"/>
    </w:p>
    <w:p w14:paraId="65770D5D" w14:textId="77777777" w:rsidR="00CB44F5" w:rsidRDefault="00CB44F5" w:rsidP="1AB8AF1D">
      <w:pPr>
        <w:pStyle w:val="ListParagraph"/>
        <w:spacing w:after="200" w:line="276" w:lineRule="auto"/>
        <w:rPr>
          <w:i/>
          <w:iCs/>
        </w:rPr>
      </w:pPr>
    </w:p>
    <w:p w14:paraId="324ED42A" w14:textId="77777777" w:rsidR="00CB44F5" w:rsidRDefault="00CB44F5" w:rsidP="1AB8AF1D">
      <w:pPr>
        <w:pStyle w:val="ListParagraph"/>
        <w:spacing w:after="200" w:line="276" w:lineRule="auto"/>
        <w:rPr>
          <w:i/>
          <w:iCs/>
        </w:rPr>
      </w:pPr>
    </w:p>
    <w:p w14:paraId="15EFD4E2" w14:textId="0F89BD1B" w:rsidR="6882CDFE" w:rsidRDefault="6882CDFE" w:rsidP="1AB8AF1D">
      <w:pPr>
        <w:pStyle w:val="ListParagraph"/>
        <w:spacing w:after="200" w:line="276" w:lineRule="auto"/>
        <w:rPr>
          <w:i/>
          <w:iCs/>
        </w:rPr>
      </w:pPr>
      <w:r w:rsidRPr="00CB44F5">
        <w:rPr>
          <w:b/>
          <w:bCs/>
          <w:i/>
          <w:iCs/>
        </w:rPr>
        <w:t>Future Scheme</w:t>
      </w:r>
      <w:r>
        <w:tab/>
      </w:r>
      <w:r w:rsidRPr="1AB8AF1D">
        <w:rPr>
          <w:i/>
          <w:iCs/>
        </w:rPr>
        <w:t xml:space="preserve">£600 would be used in the assessment as this is the </w:t>
      </w:r>
      <w:r w:rsidR="6C47A2E4" w:rsidRPr="1AB8AF1D">
        <w:rPr>
          <w:i/>
          <w:iCs/>
        </w:rPr>
        <w:t>sum</w:t>
      </w:r>
      <w:r w:rsidRPr="1AB8AF1D">
        <w:rPr>
          <w:i/>
          <w:iCs/>
        </w:rPr>
        <w:t xml:space="preserve"> of the UC award </w:t>
      </w:r>
      <w:r w:rsidR="00CB44F5">
        <w:rPr>
          <w:i/>
          <w:iCs/>
        </w:rPr>
        <w:t xml:space="preserve">with </w:t>
      </w:r>
      <w:proofErr w:type="gramStart"/>
      <w:r w:rsidRPr="1AB8AF1D">
        <w:rPr>
          <w:i/>
          <w:iCs/>
        </w:rPr>
        <w:t>earnings</w:t>
      </w:r>
      <w:proofErr w:type="gramEnd"/>
    </w:p>
    <w:p w14:paraId="2E9E4860" w14:textId="62BCDC8D" w:rsidR="1AB8AF1D" w:rsidRDefault="1AB8AF1D" w:rsidP="1AB8AF1D">
      <w:pPr>
        <w:pStyle w:val="ListParagraph"/>
        <w:spacing w:after="200" w:line="276" w:lineRule="auto"/>
        <w:rPr>
          <w:i/>
          <w:iCs/>
        </w:rPr>
      </w:pPr>
    </w:p>
    <w:p w14:paraId="780A44FD" w14:textId="4F732129" w:rsidR="68BA4435" w:rsidRDefault="68BA4435" w:rsidP="1AB8AF1D">
      <w:pPr>
        <w:pStyle w:val="ListParagraph"/>
        <w:spacing w:after="200" w:line="276" w:lineRule="auto"/>
        <w:rPr>
          <w:i/>
          <w:iCs/>
        </w:rPr>
      </w:pPr>
      <w:r w:rsidRPr="1AB8AF1D">
        <w:rPr>
          <w:i/>
          <w:iCs/>
        </w:rPr>
        <w:t>Impact</w:t>
      </w:r>
      <w:r>
        <w:tab/>
      </w:r>
      <w:r>
        <w:tab/>
      </w:r>
      <w:r w:rsidR="212E0CB6" w:rsidRPr="1AB8AF1D">
        <w:rPr>
          <w:i/>
          <w:iCs/>
        </w:rPr>
        <w:t>No change to award</w:t>
      </w:r>
      <w:r w:rsidR="591F7DA2" w:rsidRPr="1AB8AF1D">
        <w:rPr>
          <w:i/>
          <w:iCs/>
        </w:rPr>
        <w:t xml:space="preserve"> as both schemes would award 100% towards the Council Tax charge.</w:t>
      </w:r>
      <w:r w:rsidR="212E0CB6" w:rsidRPr="1AB8AF1D">
        <w:rPr>
          <w:i/>
          <w:iCs/>
        </w:rPr>
        <w:t xml:space="preserve">  </w:t>
      </w:r>
    </w:p>
    <w:p w14:paraId="5D5BBB08" w14:textId="02627EE1" w:rsidR="1AB8AF1D" w:rsidRDefault="1AB8AF1D" w:rsidP="1AB8AF1D">
      <w:pPr>
        <w:pStyle w:val="ListParagraph"/>
        <w:spacing w:after="200" w:line="276" w:lineRule="auto"/>
        <w:rPr>
          <w:i/>
          <w:iCs/>
        </w:rPr>
      </w:pPr>
    </w:p>
    <w:p w14:paraId="0D1319C9" w14:textId="7B7C4860" w:rsidR="00986D14" w:rsidRPr="00FE1E98" w:rsidRDefault="23CDF25E" w:rsidP="0BCD9809">
      <w:pPr>
        <w:pStyle w:val="ListParagraph"/>
        <w:spacing w:after="200" w:line="276" w:lineRule="auto"/>
        <w:rPr>
          <w:u w:val="single"/>
        </w:rPr>
      </w:pPr>
      <w:r w:rsidRPr="0BCD9809">
        <w:rPr>
          <w:u w:val="single"/>
        </w:rPr>
        <w:t>Points to note.</w:t>
      </w:r>
    </w:p>
    <w:p w14:paraId="331DEF15" w14:textId="1D8E0843" w:rsidR="00986D14" w:rsidRPr="00FE1E98" w:rsidRDefault="23CDF25E" w:rsidP="0BCD9809">
      <w:pPr>
        <w:pStyle w:val="ListParagraph"/>
        <w:numPr>
          <w:ilvl w:val="0"/>
          <w:numId w:val="4"/>
        </w:numPr>
        <w:spacing w:after="200" w:line="276" w:lineRule="auto"/>
      </w:pPr>
      <w:r>
        <w:t>These income bands have been applied using the data from the DWP in relation to earnings</w:t>
      </w:r>
      <w:r w:rsidR="38F5CC9E">
        <w:t xml:space="preserve">.  There will not be a burden of </w:t>
      </w:r>
      <w:r w:rsidR="7CF7A1D9">
        <w:t>administration</w:t>
      </w:r>
      <w:r w:rsidR="38F5CC9E">
        <w:t xml:space="preserve"> to these claims as there will not be a requirement for the public to provide this data.</w:t>
      </w:r>
    </w:p>
    <w:p w14:paraId="0C7DBF23" w14:textId="2702163E" w:rsidR="60EBDB5B" w:rsidRDefault="60EBDB5B" w:rsidP="1AB8AF1D">
      <w:pPr>
        <w:pStyle w:val="ListParagraph"/>
        <w:numPr>
          <w:ilvl w:val="0"/>
          <w:numId w:val="4"/>
        </w:numPr>
        <w:spacing w:after="200" w:line="276" w:lineRule="auto"/>
      </w:pPr>
      <w:r>
        <w:t xml:space="preserve">The </w:t>
      </w:r>
      <w:r w:rsidR="38CA3845">
        <w:t xml:space="preserve">income </w:t>
      </w:r>
      <w:r>
        <w:t>bands</w:t>
      </w:r>
      <w:r w:rsidR="649A7B4F">
        <w:t xml:space="preserve"> widths</w:t>
      </w:r>
      <w:r>
        <w:t xml:space="preserve"> have been taken using the total income currently held on record.  The modelling has been applied to maintain as close as possible the same level of entitlement for the UC caseload</w:t>
      </w:r>
      <w:r w:rsidR="09272018">
        <w:t>.</w:t>
      </w:r>
    </w:p>
    <w:p w14:paraId="545DB7EA" w14:textId="74AE1ADE" w:rsidR="09272018" w:rsidRDefault="09272018" w:rsidP="1AB8AF1D">
      <w:pPr>
        <w:pStyle w:val="ListParagraph"/>
        <w:numPr>
          <w:ilvl w:val="0"/>
          <w:numId w:val="4"/>
        </w:numPr>
        <w:spacing w:after="200" w:line="276" w:lineRule="auto"/>
      </w:pPr>
      <w:r>
        <w:t>Uses rounded income bands for ease for the public.</w:t>
      </w:r>
      <w:r w:rsidR="7798CE72">
        <w:t xml:space="preserve">  The council could be specific to the penny on the income </w:t>
      </w:r>
      <w:r w:rsidR="6C6349F7">
        <w:t>bands;</w:t>
      </w:r>
      <w:r w:rsidR="7798CE72">
        <w:t xml:space="preserve"> </w:t>
      </w:r>
      <w:r w:rsidR="61499C0C">
        <w:t>however,</w:t>
      </w:r>
      <w:r w:rsidR="7798CE72">
        <w:t xml:space="preserve"> experience shows that the public understanding of the income bands is clearer on rounded numbers.</w:t>
      </w:r>
    </w:p>
    <w:p w14:paraId="7EAF959B" w14:textId="14D46841" w:rsidR="00986D14" w:rsidRPr="00FE1E98" w:rsidRDefault="76F2C04C" w:rsidP="0BCD9809">
      <w:pPr>
        <w:pStyle w:val="ListParagraph"/>
        <w:numPr>
          <w:ilvl w:val="0"/>
          <w:numId w:val="4"/>
        </w:numPr>
        <w:spacing w:after="200" w:line="276" w:lineRule="auto"/>
      </w:pPr>
      <w:r>
        <w:t>2 Claims will be affected by the proposed bands as they will no longer qualify.</w:t>
      </w:r>
      <w:r w:rsidR="4B452BE8">
        <w:t xml:space="preserve"> </w:t>
      </w:r>
    </w:p>
    <w:p w14:paraId="7E5CE4C0" w14:textId="3C514C13" w:rsidR="00986D14" w:rsidRPr="00FE1E98" w:rsidRDefault="23CDF25E" w:rsidP="6E2F24C0">
      <w:pPr>
        <w:pStyle w:val="ListParagraph"/>
        <w:numPr>
          <w:ilvl w:val="0"/>
          <w:numId w:val="4"/>
        </w:numPr>
        <w:spacing w:after="200" w:line="276" w:lineRule="auto"/>
      </w:pPr>
      <w:r>
        <w:t>Will provide a saving of £24</w:t>
      </w:r>
      <w:r w:rsidR="79433361">
        <w:t>,380</w:t>
      </w:r>
      <w:r>
        <w:t xml:space="preserve"> </w:t>
      </w:r>
      <w:r w:rsidR="3B4000D8">
        <w:t xml:space="preserve">per annum </w:t>
      </w:r>
      <w:r>
        <w:t>to the scheme with those cases who have either moved bands (</w:t>
      </w:r>
      <w:r w:rsidR="7A659EAF">
        <w:t>positively or negatively)</w:t>
      </w:r>
      <w:r>
        <w:t xml:space="preserve"> </w:t>
      </w:r>
    </w:p>
    <w:p w14:paraId="2E1AE652" w14:textId="35F2974E" w:rsidR="00986D14" w:rsidRPr="00FE1E98" w:rsidRDefault="1ACB8FCC" w:rsidP="0BCD9809">
      <w:pPr>
        <w:spacing w:after="200" w:line="276" w:lineRule="auto"/>
        <w:ind w:left="720"/>
        <w:rPr>
          <w:b/>
          <w:bCs/>
        </w:rPr>
      </w:pPr>
      <w:r w:rsidRPr="0BCD9809">
        <w:rPr>
          <w:b/>
          <w:bCs/>
        </w:rPr>
        <w:t>Option 2</w:t>
      </w:r>
    </w:p>
    <w:p w14:paraId="09EDCFF6" w14:textId="32BEEFFF" w:rsidR="00986D14" w:rsidRPr="00FE1E98" w:rsidRDefault="51893FC3" w:rsidP="0BCD9809">
      <w:pPr>
        <w:spacing w:after="200" w:line="276" w:lineRule="auto"/>
        <w:ind w:left="720"/>
      </w:pPr>
      <w:r>
        <w:t xml:space="preserve">Due to the budget constraints, a budget proposal of a £90,000 </w:t>
      </w:r>
      <w:r w:rsidR="6C919364">
        <w:t xml:space="preserve">per annum </w:t>
      </w:r>
      <w:r>
        <w:t>saving is suggested f</w:t>
      </w:r>
      <w:r w:rsidR="00CB44F5">
        <w:t xml:space="preserve">rom </w:t>
      </w:r>
      <w:r>
        <w:t>2025/26</w:t>
      </w:r>
      <w:r w:rsidR="095CE315">
        <w:t xml:space="preserve"> to the</w:t>
      </w:r>
      <w:r w:rsidR="5089BF5D">
        <w:t xml:space="preserve"> cost of CTR.  This is a total </w:t>
      </w:r>
      <w:r w:rsidR="73AA6F57">
        <w:t>saving</w:t>
      </w:r>
      <w:r w:rsidR="5089BF5D">
        <w:t xml:space="preserve"> of £610,000 </w:t>
      </w:r>
      <w:r w:rsidR="156682A0">
        <w:t xml:space="preserve">per annum </w:t>
      </w:r>
      <w:r w:rsidR="5089BF5D">
        <w:t xml:space="preserve">across the </w:t>
      </w:r>
      <w:r w:rsidR="69A3F912">
        <w:t xml:space="preserve">CTR </w:t>
      </w:r>
      <w:r w:rsidR="5089BF5D">
        <w:t xml:space="preserve">scheme </w:t>
      </w:r>
      <w:r w:rsidR="68DF5006">
        <w:t>with the remainder of the saving accruing to the County Council and Police and Crime Commissioners.</w:t>
      </w:r>
    </w:p>
    <w:p w14:paraId="259C8FE3" w14:textId="3A587F0F" w:rsidR="00986D14" w:rsidRPr="00FE1E98" w:rsidRDefault="7064C478" w:rsidP="0BCD9809">
      <w:pPr>
        <w:spacing w:after="200" w:line="276" w:lineRule="auto"/>
        <w:ind w:left="720"/>
      </w:pPr>
      <w:r>
        <w:t xml:space="preserve">The below table is a suggested income threshold based upon the current earnings used.  </w:t>
      </w:r>
      <w:r w:rsidR="07D7B780">
        <w:t>This is to increase the bands to include the wages and then to reduce the income bands to create the scheme savings.</w:t>
      </w:r>
    </w:p>
    <w:p w14:paraId="05E456E4" w14:textId="50972071" w:rsidR="1AB8AF1D" w:rsidRDefault="1AB8AF1D" w:rsidP="1AB8AF1D">
      <w:pPr>
        <w:spacing w:after="200" w:line="276" w:lineRule="auto"/>
        <w:ind w:left="720"/>
      </w:pPr>
    </w:p>
    <w:tbl>
      <w:tblPr>
        <w:tblStyle w:val="TableGrid"/>
        <w:tblW w:w="0" w:type="auto"/>
        <w:tblInd w:w="7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
        <w:gridCol w:w="2156"/>
        <w:gridCol w:w="1605"/>
        <w:gridCol w:w="2520"/>
        <w:gridCol w:w="2430"/>
        <w:gridCol w:w="1440"/>
        <w:gridCol w:w="1962"/>
      </w:tblGrid>
      <w:tr w:rsidR="0BCD9809" w14:paraId="64EFD6CD" w14:textId="77777777" w:rsidTr="6E2F24C0">
        <w:trPr>
          <w:trHeight w:val="300"/>
        </w:trPr>
        <w:tc>
          <w:tcPr>
            <w:tcW w:w="11200" w:type="dxa"/>
            <w:gridSpan w:val="6"/>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8F78582" w14:textId="496B9859" w:rsidR="0BCD9809" w:rsidRDefault="7EAAAB59" w:rsidP="0BCD9809">
            <w:pPr>
              <w:rPr>
                <w:rFonts w:eastAsia="Arial"/>
                <w:b/>
                <w:bCs/>
                <w:color w:val="000000" w:themeColor="text1"/>
                <w:sz w:val="22"/>
                <w:szCs w:val="22"/>
              </w:rPr>
            </w:pPr>
            <w:r w:rsidRPr="279787CA">
              <w:rPr>
                <w:rFonts w:eastAsia="Arial"/>
                <w:b/>
                <w:bCs/>
                <w:color w:val="000000" w:themeColor="text1"/>
                <w:sz w:val="22"/>
                <w:szCs w:val="22"/>
              </w:rPr>
              <w:t xml:space="preserve">Table </w:t>
            </w:r>
            <w:r w:rsidR="69717C90" w:rsidRPr="279787CA">
              <w:rPr>
                <w:rFonts w:eastAsia="Arial"/>
                <w:b/>
                <w:bCs/>
                <w:color w:val="000000" w:themeColor="text1"/>
                <w:sz w:val="22"/>
                <w:szCs w:val="22"/>
              </w:rPr>
              <w:t>3</w:t>
            </w:r>
            <w:r w:rsidRPr="279787CA">
              <w:rPr>
                <w:rFonts w:eastAsia="Arial"/>
                <w:b/>
                <w:bCs/>
                <w:color w:val="000000" w:themeColor="text1"/>
                <w:sz w:val="22"/>
                <w:szCs w:val="22"/>
              </w:rPr>
              <w:t>: Income Bandings for existing CTR scheme 2024/25</w:t>
            </w:r>
            <w:r w:rsidR="4465205C" w:rsidRPr="279787CA">
              <w:rPr>
                <w:rFonts w:eastAsia="Arial"/>
                <w:b/>
                <w:bCs/>
                <w:color w:val="000000" w:themeColor="text1"/>
                <w:sz w:val="22"/>
                <w:szCs w:val="22"/>
              </w:rPr>
              <w:t xml:space="preserve"> with £90k savings</w:t>
            </w:r>
          </w:p>
        </w:tc>
        <w:tc>
          <w:tcPr>
            <w:tcW w:w="1962"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8CA11AF" w14:textId="2D3B7263" w:rsidR="0BCD9809" w:rsidRDefault="0BCD9809" w:rsidP="0BCD9809">
            <w:pPr>
              <w:rPr>
                <w:rFonts w:eastAsia="Arial"/>
                <w:b/>
                <w:bCs/>
                <w:color w:val="000000" w:themeColor="text1"/>
                <w:sz w:val="22"/>
                <w:szCs w:val="22"/>
              </w:rPr>
            </w:pPr>
          </w:p>
        </w:tc>
      </w:tr>
      <w:tr w:rsidR="0BCD9809" w14:paraId="5FFC1386" w14:textId="77777777" w:rsidTr="6E2F24C0">
        <w:trPr>
          <w:trHeight w:val="300"/>
        </w:trPr>
        <w:tc>
          <w:tcPr>
            <w:tcW w:w="10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237627E" w14:textId="0827A620" w:rsidR="0BCD9809" w:rsidRDefault="0BCD9809" w:rsidP="0BCD9809">
            <w:pPr>
              <w:rPr>
                <w:rFonts w:eastAsia="Arial"/>
                <w:color w:val="000000" w:themeColor="text1"/>
                <w:sz w:val="22"/>
                <w:szCs w:val="22"/>
              </w:rPr>
            </w:pPr>
            <w:r w:rsidRPr="0BCD9809">
              <w:rPr>
                <w:rFonts w:eastAsia="Arial"/>
                <w:b/>
                <w:bCs/>
                <w:color w:val="000000" w:themeColor="text1"/>
                <w:sz w:val="22"/>
                <w:szCs w:val="22"/>
              </w:rPr>
              <w:t>Band</w:t>
            </w:r>
          </w:p>
        </w:tc>
        <w:tc>
          <w:tcPr>
            <w:tcW w:w="215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DD86FB5" w14:textId="0DA91EDE" w:rsidR="0BCD9809" w:rsidRDefault="0BCD9809" w:rsidP="0BCD9809">
            <w:pPr>
              <w:rPr>
                <w:rFonts w:eastAsia="Arial"/>
                <w:color w:val="000000" w:themeColor="text1"/>
                <w:sz w:val="22"/>
                <w:szCs w:val="22"/>
              </w:rPr>
            </w:pPr>
            <w:r w:rsidRPr="0BCD9809">
              <w:rPr>
                <w:rFonts w:eastAsia="Arial"/>
                <w:b/>
                <w:bCs/>
                <w:color w:val="000000" w:themeColor="text1"/>
                <w:sz w:val="22"/>
                <w:szCs w:val="22"/>
              </w:rPr>
              <w:t>Weekly Income</w:t>
            </w:r>
          </w:p>
        </w:tc>
        <w:tc>
          <w:tcPr>
            <w:tcW w:w="16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28D9139" w14:textId="018D0238" w:rsidR="0BCD9809" w:rsidRDefault="0BCD9809" w:rsidP="0BCD9809">
            <w:pPr>
              <w:rPr>
                <w:rFonts w:eastAsia="Arial"/>
                <w:color w:val="000000" w:themeColor="text1"/>
                <w:sz w:val="22"/>
                <w:szCs w:val="22"/>
              </w:rPr>
            </w:pPr>
            <w:r w:rsidRPr="0BCD9809">
              <w:rPr>
                <w:rFonts w:eastAsia="Arial"/>
                <w:b/>
                <w:bCs/>
                <w:color w:val="000000" w:themeColor="text1"/>
                <w:sz w:val="22"/>
                <w:szCs w:val="22"/>
              </w:rPr>
              <w:t>Discount received</w:t>
            </w:r>
          </w:p>
        </w:tc>
        <w:tc>
          <w:tcPr>
            <w:tcW w:w="25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8FCF73" w14:textId="2CFADB3E" w:rsidR="0BCD9809" w:rsidRDefault="0BCD9809" w:rsidP="0BCD9809">
            <w:pPr>
              <w:spacing w:line="259" w:lineRule="auto"/>
              <w:jc w:val="center"/>
            </w:pPr>
            <w:r w:rsidRPr="0BCD9809">
              <w:rPr>
                <w:rFonts w:eastAsia="Arial"/>
                <w:b/>
                <w:bCs/>
                <w:color w:val="000000" w:themeColor="text1"/>
                <w:sz w:val="22"/>
                <w:szCs w:val="22"/>
              </w:rPr>
              <w:t>Claims with UC and Earning currently</w:t>
            </w:r>
          </w:p>
        </w:tc>
        <w:tc>
          <w:tcPr>
            <w:tcW w:w="2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B5015AD" w14:textId="584D9855" w:rsidR="0BCD9809" w:rsidRDefault="0BCD9809" w:rsidP="0BCD9809">
            <w:pPr>
              <w:jc w:val="center"/>
              <w:rPr>
                <w:rFonts w:eastAsia="Arial"/>
                <w:b/>
                <w:bCs/>
                <w:color w:val="000000" w:themeColor="text1"/>
                <w:sz w:val="22"/>
                <w:szCs w:val="22"/>
              </w:rPr>
            </w:pPr>
            <w:r w:rsidRPr="0BCD9809">
              <w:rPr>
                <w:rFonts w:eastAsia="Arial"/>
                <w:b/>
                <w:bCs/>
                <w:color w:val="000000" w:themeColor="text1"/>
                <w:sz w:val="22"/>
                <w:szCs w:val="22"/>
              </w:rPr>
              <w:t>Proposed Weekly Income</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0AA1BD4" w14:textId="4FAF4A9D" w:rsidR="0BCD9809" w:rsidRDefault="0BCD9809" w:rsidP="0BCD9809">
            <w:pPr>
              <w:spacing w:line="259" w:lineRule="auto"/>
              <w:jc w:val="center"/>
              <w:rPr>
                <w:rFonts w:eastAsia="Arial"/>
                <w:b/>
                <w:bCs/>
                <w:color w:val="000000" w:themeColor="text1"/>
                <w:sz w:val="22"/>
                <w:szCs w:val="22"/>
              </w:rPr>
            </w:pPr>
            <w:r w:rsidRPr="0BCD9809">
              <w:rPr>
                <w:rFonts w:eastAsia="Arial"/>
                <w:b/>
                <w:bCs/>
                <w:color w:val="000000" w:themeColor="text1"/>
                <w:sz w:val="22"/>
                <w:szCs w:val="22"/>
              </w:rPr>
              <w:t>Number in each band</w:t>
            </w:r>
          </w:p>
        </w:tc>
        <w:tc>
          <w:tcPr>
            <w:tcW w:w="196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BBA73F5" w14:textId="13A3584A" w:rsidR="0BCD9809" w:rsidRDefault="0BCD9809" w:rsidP="0BCD9809">
            <w:pPr>
              <w:spacing w:line="259" w:lineRule="auto"/>
              <w:jc w:val="center"/>
              <w:rPr>
                <w:rFonts w:eastAsia="Arial"/>
                <w:b/>
                <w:bCs/>
                <w:color w:val="000000" w:themeColor="text1"/>
                <w:sz w:val="22"/>
                <w:szCs w:val="22"/>
              </w:rPr>
            </w:pPr>
            <w:r w:rsidRPr="0BCD9809">
              <w:rPr>
                <w:rFonts w:eastAsia="Arial"/>
                <w:b/>
                <w:bCs/>
                <w:color w:val="000000" w:themeColor="text1"/>
                <w:sz w:val="22"/>
                <w:szCs w:val="22"/>
              </w:rPr>
              <w:t>Claim shift per band</w:t>
            </w:r>
          </w:p>
        </w:tc>
      </w:tr>
      <w:tr w:rsidR="0BCD9809" w14:paraId="15220239" w14:textId="77777777" w:rsidTr="6E2F24C0">
        <w:trPr>
          <w:trHeight w:val="300"/>
        </w:trPr>
        <w:tc>
          <w:tcPr>
            <w:tcW w:w="10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62CF63D" w14:textId="529F2F2D"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1</w:t>
            </w:r>
          </w:p>
        </w:tc>
        <w:tc>
          <w:tcPr>
            <w:tcW w:w="215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D3D234F" w14:textId="3A4E8E4B" w:rsidR="0BCD9809" w:rsidRDefault="0BCD9809" w:rsidP="0BCD9809">
            <w:pPr>
              <w:rPr>
                <w:rFonts w:eastAsia="Arial"/>
                <w:color w:val="000000" w:themeColor="text1"/>
                <w:sz w:val="22"/>
                <w:szCs w:val="22"/>
              </w:rPr>
            </w:pPr>
            <w:r w:rsidRPr="0BCD9809">
              <w:rPr>
                <w:rFonts w:eastAsia="Arial"/>
                <w:color w:val="000000" w:themeColor="text1"/>
                <w:sz w:val="22"/>
                <w:szCs w:val="22"/>
              </w:rPr>
              <w:t>£0 - £184.00</w:t>
            </w:r>
          </w:p>
        </w:tc>
        <w:tc>
          <w:tcPr>
            <w:tcW w:w="16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6F295E7" w14:textId="50BB236C"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100%</w:t>
            </w:r>
          </w:p>
        </w:tc>
        <w:tc>
          <w:tcPr>
            <w:tcW w:w="25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44A03C1" w14:textId="45E66146"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1545</w:t>
            </w:r>
          </w:p>
        </w:tc>
        <w:tc>
          <w:tcPr>
            <w:tcW w:w="2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5954405" w14:textId="4541AF41" w:rsidR="0BCD9809" w:rsidRDefault="0BCD9809" w:rsidP="0BCD9809">
            <w:pPr>
              <w:rPr>
                <w:rFonts w:eastAsia="Arial"/>
                <w:color w:val="000000" w:themeColor="text1"/>
                <w:sz w:val="22"/>
                <w:szCs w:val="22"/>
              </w:rPr>
            </w:pPr>
            <w:r w:rsidRPr="0BCD9809">
              <w:rPr>
                <w:rFonts w:eastAsia="Arial"/>
                <w:color w:val="000000" w:themeColor="text1"/>
                <w:sz w:val="22"/>
                <w:szCs w:val="22"/>
              </w:rPr>
              <w:t>£0 - £</w:t>
            </w:r>
            <w:r w:rsidR="0C37DDC0" w:rsidRPr="0BCD9809">
              <w:rPr>
                <w:rFonts w:eastAsia="Arial"/>
                <w:color w:val="000000" w:themeColor="text1"/>
                <w:sz w:val="22"/>
                <w:szCs w:val="22"/>
              </w:rPr>
              <w:t>500.00</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53B0EB7" w14:textId="7764689D" w:rsidR="30B3A22C" w:rsidRDefault="30B3A22C" w:rsidP="0BCD9809">
            <w:pPr>
              <w:jc w:val="center"/>
              <w:rPr>
                <w:rFonts w:eastAsia="Arial"/>
                <w:color w:val="000000" w:themeColor="text1"/>
                <w:sz w:val="22"/>
                <w:szCs w:val="22"/>
              </w:rPr>
            </w:pPr>
            <w:r w:rsidRPr="0BCD9809">
              <w:rPr>
                <w:rFonts w:eastAsia="Arial"/>
                <w:color w:val="000000" w:themeColor="text1"/>
                <w:sz w:val="22"/>
                <w:szCs w:val="22"/>
              </w:rPr>
              <w:t>109</w:t>
            </w:r>
            <w:r w:rsidR="09618BF0" w:rsidRPr="0BCD9809">
              <w:rPr>
                <w:rFonts w:eastAsia="Arial"/>
                <w:color w:val="000000" w:themeColor="text1"/>
                <w:sz w:val="22"/>
                <w:szCs w:val="22"/>
              </w:rPr>
              <w:t>8</w:t>
            </w:r>
          </w:p>
        </w:tc>
        <w:tc>
          <w:tcPr>
            <w:tcW w:w="196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41F53EA" w14:textId="546F2EE6" w:rsidR="09618BF0" w:rsidRDefault="09618BF0" w:rsidP="0BCD9809">
            <w:pPr>
              <w:jc w:val="center"/>
              <w:rPr>
                <w:rFonts w:eastAsia="Arial"/>
                <w:color w:val="000000" w:themeColor="text1"/>
                <w:sz w:val="22"/>
                <w:szCs w:val="22"/>
              </w:rPr>
            </w:pPr>
            <w:r w:rsidRPr="0BCD9809">
              <w:rPr>
                <w:rFonts w:eastAsia="Arial"/>
                <w:color w:val="000000" w:themeColor="text1"/>
                <w:sz w:val="22"/>
                <w:szCs w:val="22"/>
              </w:rPr>
              <w:t>-447</w:t>
            </w:r>
          </w:p>
        </w:tc>
      </w:tr>
      <w:tr w:rsidR="0BCD9809" w14:paraId="28D1D092" w14:textId="77777777" w:rsidTr="6E2F24C0">
        <w:trPr>
          <w:trHeight w:val="300"/>
        </w:trPr>
        <w:tc>
          <w:tcPr>
            <w:tcW w:w="10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ABB8F78" w14:textId="309A9A9C"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2</w:t>
            </w:r>
          </w:p>
        </w:tc>
        <w:tc>
          <w:tcPr>
            <w:tcW w:w="215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5EE9FA4" w14:textId="314F1ACE" w:rsidR="0BCD9809" w:rsidRDefault="0BCD9809" w:rsidP="0BCD9809">
            <w:pPr>
              <w:rPr>
                <w:rFonts w:eastAsia="Arial"/>
                <w:color w:val="000000" w:themeColor="text1"/>
                <w:sz w:val="22"/>
                <w:szCs w:val="22"/>
              </w:rPr>
            </w:pPr>
            <w:r w:rsidRPr="0BCD9809">
              <w:rPr>
                <w:rFonts w:eastAsia="Arial"/>
                <w:color w:val="000000" w:themeColor="text1"/>
                <w:sz w:val="22"/>
                <w:szCs w:val="22"/>
              </w:rPr>
              <w:t>£184.01 - £275.00</w:t>
            </w:r>
          </w:p>
        </w:tc>
        <w:tc>
          <w:tcPr>
            <w:tcW w:w="16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908277C" w14:textId="2145DDF6"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75%</w:t>
            </w:r>
          </w:p>
        </w:tc>
        <w:tc>
          <w:tcPr>
            <w:tcW w:w="25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00C4F3F" w14:textId="4D05A9BA"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451</w:t>
            </w:r>
          </w:p>
        </w:tc>
        <w:tc>
          <w:tcPr>
            <w:tcW w:w="2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A58C32" w14:textId="3BBF8616" w:rsidR="0BCD9809" w:rsidRDefault="0BCD9809" w:rsidP="0BCD9809">
            <w:pPr>
              <w:rPr>
                <w:rFonts w:eastAsia="Arial"/>
                <w:color w:val="000000" w:themeColor="text1"/>
                <w:sz w:val="22"/>
                <w:szCs w:val="22"/>
              </w:rPr>
            </w:pPr>
            <w:r w:rsidRPr="0BCD9809">
              <w:rPr>
                <w:rFonts w:eastAsia="Arial"/>
                <w:color w:val="000000" w:themeColor="text1"/>
                <w:sz w:val="22"/>
                <w:szCs w:val="22"/>
              </w:rPr>
              <w:t>£</w:t>
            </w:r>
            <w:r w:rsidR="20BB53EC" w:rsidRPr="0BCD9809">
              <w:rPr>
                <w:rFonts w:eastAsia="Arial"/>
                <w:color w:val="000000" w:themeColor="text1"/>
                <w:sz w:val="22"/>
                <w:szCs w:val="22"/>
              </w:rPr>
              <w:t>5</w:t>
            </w:r>
            <w:r w:rsidRPr="0BCD9809">
              <w:rPr>
                <w:rFonts w:eastAsia="Arial"/>
                <w:color w:val="000000" w:themeColor="text1"/>
                <w:sz w:val="22"/>
                <w:szCs w:val="22"/>
              </w:rPr>
              <w:t>00.01 - £</w:t>
            </w:r>
            <w:r w:rsidR="5B50B201" w:rsidRPr="0BCD9809">
              <w:rPr>
                <w:rFonts w:eastAsia="Arial"/>
                <w:color w:val="000000" w:themeColor="text1"/>
                <w:sz w:val="22"/>
                <w:szCs w:val="22"/>
              </w:rPr>
              <w:t>575</w:t>
            </w:r>
            <w:r w:rsidRPr="0BCD9809">
              <w:rPr>
                <w:rFonts w:eastAsia="Arial"/>
                <w:color w:val="000000" w:themeColor="text1"/>
                <w:sz w:val="22"/>
                <w:szCs w:val="22"/>
              </w:rPr>
              <w:t>.00</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93BE7A8" w14:textId="615AED6F" w:rsidR="7E96F5BC" w:rsidRDefault="7E96F5BC" w:rsidP="0BCD9809">
            <w:pPr>
              <w:jc w:val="center"/>
              <w:rPr>
                <w:rFonts w:eastAsia="Arial"/>
                <w:color w:val="000000" w:themeColor="text1"/>
                <w:sz w:val="22"/>
                <w:szCs w:val="22"/>
              </w:rPr>
            </w:pPr>
            <w:r w:rsidRPr="0BCD9809">
              <w:rPr>
                <w:rFonts w:eastAsia="Arial"/>
                <w:color w:val="000000" w:themeColor="text1"/>
                <w:sz w:val="22"/>
                <w:szCs w:val="22"/>
              </w:rPr>
              <w:t>368</w:t>
            </w:r>
          </w:p>
        </w:tc>
        <w:tc>
          <w:tcPr>
            <w:tcW w:w="196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5E564AB" w14:textId="4398261C"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w:t>
            </w:r>
            <w:r w:rsidR="56B54DE9" w:rsidRPr="0BCD9809">
              <w:rPr>
                <w:rFonts w:eastAsia="Arial"/>
                <w:color w:val="000000" w:themeColor="text1"/>
                <w:sz w:val="22"/>
                <w:szCs w:val="22"/>
              </w:rPr>
              <w:t>83</w:t>
            </w:r>
          </w:p>
        </w:tc>
      </w:tr>
      <w:tr w:rsidR="0BCD9809" w14:paraId="15650EB6" w14:textId="77777777" w:rsidTr="6E2F24C0">
        <w:trPr>
          <w:trHeight w:val="300"/>
        </w:trPr>
        <w:tc>
          <w:tcPr>
            <w:tcW w:w="10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7135C3B" w14:textId="25EE6F6D"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3</w:t>
            </w:r>
          </w:p>
        </w:tc>
        <w:tc>
          <w:tcPr>
            <w:tcW w:w="215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11F2F3C" w14:textId="4BBC6D8D" w:rsidR="0BCD9809" w:rsidRDefault="0BCD9809" w:rsidP="0BCD9809">
            <w:pPr>
              <w:rPr>
                <w:rFonts w:eastAsia="Arial"/>
                <w:color w:val="000000" w:themeColor="text1"/>
                <w:sz w:val="22"/>
                <w:szCs w:val="22"/>
              </w:rPr>
            </w:pPr>
            <w:r w:rsidRPr="0BCD9809">
              <w:rPr>
                <w:rFonts w:eastAsia="Arial"/>
                <w:color w:val="000000" w:themeColor="text1"/>
                <w:sz w:val="22"/>
                <w:szCs w:val="22"/>
              </w:rPr>
              <w:t>£275.01 - £375.00</w:t>
            </w:r>
          </w:p>
        </w:tc>
        <w:tc>
          <w:tcPr>
            <w:tcW w:w="16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C73CA9" w14:textId="01F47F6F"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50%</w:t>
            </w:r>
          </w:p>
        </w:tc>
        <w:tc>
          <w:tcPr>
            <w:tcW w:w="25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85FEB52" w14:textId="67693A53"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153</w:t>
            </w:r>
          </w:p>
        </w:tc>
        <w:tc>
          <w:tcPr>
            <w:tcW w:w="2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D4004E2" w14:textId="23978B07" w:rsidR="0BCD9809" w:rsidRDefault="0BCD9809" w:rsidP="0BCD9809">
            <w:pPr>
              <w:rPr>
                <w:rFonts w:eastAsia="Arial"/>
                <w:color w:val="000000" w:themeColor="text1"/>
                <w:sz w:val="22"/>
                <w:szCs w:val="22"/>
              </w:rPr>
            </w:pPr>
            <w:r w:rsidRPr="0BCD9809">
              <w:rPr>
                <w:rFonts w:eastAsia="Arial"/>
                <w:color w:val="000000" w:themeColor="text1"/>
                <w:sz w:val="22"/>
                <w:szCs w:val="22"/>
              </w:rPr>
              <w:t>£</w:t>
            </w:r>
            <w:r w:rsidR="07224B3F" w:rsidRPr="0BCD9809">
              <w:rPr>
                <w:rFonts w:eastAsia="Arial"/>
                <w:color w:val="000000" w:themeColor="text1"/>
                <w:sz w:val="22"/>
                <w:szCs w:val="22"/>
              </w:rPr>
              <w:t>575</w:t>
            </w:r>
            <w:r w:rsidRPr="0BCD9809">
              <w:rPr>
                <w:rFonts w:eastAsia="Arial"/>
                <w:color w:val="000000" w:themeColor="text1"/>
                <w:sz w:val="22"/>
                <w:szCs w:val="22"/>
              </w:rPr>
              <w:t>.01 - £</w:t>
            </w:r>
            <w:r w:rsidR="77951F91" w:rsidRPr="0BCD9809">
              <w:rPr>
                <w:rFonts w:eastAsia="Arial"/>
                <w:color w:val="000000" w:themeColor="text1"/>
                <w:sz w:val="22"/>
                <w:szCs w:val="22"/>
              </w:rPr>
              <w:t>6</w:t>
            </w:r>
            <w:r w:rsidRPr="0BCD9809">
              <w:rPr>
                <w:rFonts w:eastAsia="Arial"/>
                <w:color w:val="000000" w:themeColor="text1"/>
                <w:sz w:val="22"/>
                <w:szCs w:val="22"/>
              </w:rPr>
              <w:t>50.00</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6D7BC72" w14:textId="19F727CA" w:rsidR="4F3DAC8B" w:rsidRDefault="4F3DAC8B" w:rsidP="0BCD9809">
            <w:pPr>
              <w:jc w:val="center"/>
              <w:rPr>
                <w:rFonts w:eastAsia="Arial"/>
                <w:color w:val="000000" w:themeColor="text1"/>
                <w:sz w:val="22"/>
                <w:szCs w:val="22"/>
              </w:rPr>
            </w:pPr>
            <w:r w:rsidRPr="0BCD9809">
              <w:rPr>
                <w:rFonts w:eastAsia="Arial"/>
                <w:color w:val="000000" w:themeColor="text1"/>
                <w:sz w:val="22"/>
                <w:szCs w:val="22"/>
              </w:rPr>
              <w:t>289</w:t>
            </w:r>
          </w:p>
        </w:tc>
        <w:tc>
          <w:tcPr>
            <w:tcW w:w="196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3A06B0" w14:textId="0000E002" w:rsidR="0634785B" w:rsidRDefault="0634785B" w:rsidP="0BCD9809">
            <w:pPr>
              <w:jc w:val="center"/>
              <w:rPr>
                <w:rFonts w:eastAsia="Arial"/>
                <w:color w:val="000000" w:themeColor="text1"/>
                <w:sz w:val="22"/>
                <w:szCs w:val="22"/>
              </w:rPr>
            </w:pPr>
            <w:r w:rsidRPr="0BCD9809">
              <w:rPr>
                <w:rFonts w:eastAsia="Arial"/>
                <w:color w:val="000000" w:themeColor="text1"/>
                <w:sz w:val="22"/>
                <w:szCs w:val="22"/>
              </w:rPr>
              <w:t>+136</w:t>
            </w:r>
          </w:p>
        </w:tc>
      </w:tr>
      <w:tr w:rsidR="0BCD9809" w14:paraId="7D2DBDD8" w14:textId="77777777" w:rsidTr="6E2F24C0">
        <w:trPr>
          <w:trHeight w:val="300"/>
        </w:trPr>
        <w:tc>
          <w:tcPr>
            <w:tcW w:w="10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0D9D168" w14:textId="11444257"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4</w:t>
            </w:r>
          </w:p>
        </w:tc>
        <w:tc>
          <w:tcPr>
            <w:tcW w:w="215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1551C75" w14:textId="6D777978" w:rsidR="0BCD9809" w:rsidRDefault="0BCD9809" w:rsidP="0BCD9809">
            <w:pPr>
              <w:rPr>
                <w:rFonts w:eastAsia="Arial"/>
                <w:color w:val="000000" w:themeColor="text1"/>
                <w:sz w:val="22"/>
                <w:szCs w:val="22"/>
              </w:rPr>
            </w:pPr>
            <w:r w:rsidRPr="0BCD9809">
              <w:rPr>
                <w:rFonts w:eastAsia="Arial"/>
                <w:color w:val="000000" w:themeColor="text1"/>
                <w:sz w:val="22"/>
                <w:szCs w:val="22"/>
              </w:rPr>
              <w:t>£375.01 - £452.00</w:t>
            </w:r>
          </w:p>
        </w:tc>
        <w:tc>
          <w:tcPr>
            <w:tcW w:w="16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9DA9F3" w14:textId="419503EB"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25%</w:t>
            </w:r>
          </w:p>
        </w:tc>
        <w:tc>
          <w:tcPr>
            <w:tcW w:w="25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0A6C143" w14:textId="763886D1"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23</w:t>
            </w:r>
          </w:p>
        </w:tc>
        <w:tc>
          <w:tcPr>
            <w:tcW w:w="2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D3D8389" w14:textId="6E960B60" w:rsidR="0BCD9809" w:rsidRDefault="0BCD9809" w:rsidP="0BCD9809">
            <w:pPr>
              <w:rPr>
                <w:rFonts w:eastAsia="Arial"/>
                <w:color w:val="000000" w:themeColor="text1"/>
                <w:sz w:val="22"/>
                <w:szCs w:val="22"/>
              </w:rPr>
            </w:pPr>
            <w:r w:rsidRPr="0BCD9809">
              <w:rPr>
                <w:rFonts w:eastAsia="Arial"/>
                <w:color w:val="000000" w:themeColor="text1"/>
                <w:sz w:val="22"/>
                <w:szCs w:val="22"/>
              </w:rPr>
              <w:t>£</w:t>
            </w:r>
            <w:r w:rsidR="00C5906F" w:rsidRPr="0BCD9809">
              <w:rPr>
                <w:rFonts w:eastAsia="Arial"/>
                <w:color w:val="000000" w:themeColor="text1"/>
                <w:sz w:val="22"/>
                <w:szCs w:val="22"/>
              </w:rPr>
              <w:t>6</w:t>
            </w:r>
            <w:r w:rsidRPr="0BCD9809">
              <w:rPr>
                <w:rFonts w:eastAsia="Arial"/>
                <w:color w:val="000000" w:themeColor="text1"/>
                <w:sz w:val="22"/>
                <w:szCs w:val="22"/>
              </w:rPr>
              <w:t>50.01 - £</w:t>
            </w:r>
            <w:r w:rsidR="56D3DC18" w:rsidRPr="0BCD9809">
              <w:rPr>
                <w:rFonts w:eastAsia="Arial"/>
                <w:color w:val="000000" w:themeColor="text1"/>
                <w:sz w:val="22"/>
                <w:szCs w:val="22"/>
              </w:rPr>
              <w:t>700</w:t>
            </w:r>
            <w:r w:rsidRPr="0BCD9809">
              <w:rPr>
                <w:rFonts w:eastAsia="Arial"/>
                <w:color w:val="000000" w:themeColor="text1"/>
                <w:sz w:val="22"/>
                <w:szCs w:val="22"/>
              </w:rPr>
              <w:t>.00</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1BCCA76" w14:textId="71A86C16" w:rsidR="1DF4CFDE" w:rsidRDefault="1DF4CFDE" w:rsidP="0BCD9809">
            <w:pPr>
              <w:jc w:val="center"/>
              <w:rPr>
                <w:rFonts w:eastAsia="Arial"/>
                <w:color w:val="000000" w:themeColor="text1"/>
                <w:sz w:val="22"/>
                <w:szCs w:val="22"/>
              </w:rPr>
            </w:pPr>
            <w:r w:rsidRPr="0BCD9809">
              <w:rPr>
                <w:rFonts w:eastAsia="Arial"/>
                <w:color w:val="000000" w:themeColor="text1"/>
                <w:sz w:val="22"/>
                <w:szCs w:val="22"/>
              </w:rPr>
              <w:t>152</w:t>
            </w:r>
          </w:p>
        </w:tc>
        <w:tc>
          <w:tcPr>
            <w:tcW w:w="196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DFF600F" w14:textId="3ACCE064"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w:t>
            </w:r>
            <w:r w:rsidR="3EFBE7BB" w:rsidRPr="0BCD9809">
              <w:rPr>
                <w:rFonts w:eastAsia="Arial"/>
                <w:color w:val="000000" w:themeColor="text1"/>
                <w:sz w:val="22"/>
                <w:szCs w:val="22"/>
              </w:rPr>
              <w:t>129</w:t>
            </w:r>
          </w:p>
        </w:tc>
      </w:tr>
      <w:tr w:rsidR="0BCD9809" w14:paraId="468D96A1" w14:textId="77777777" w:rsidTr="6E2F24C0">
        <w:trPr>
          <w:trHeight w:val="300"/>
        </w:trPr>
        <w:tc>
          <w:tcPr>
            <w:tcW w:w="104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85CA967" w14:textId="06A86EE2"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5</w:t>
            </w:r>
          </w:p>
        </w:tc>
        <w:tc>
          <w:tcPr>
            <w:tcW w:w="215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ABE5C84" w14:textId="283EB735" w:rsidR="0BCD9809" w:rsidRDefault="0BCD9809" w:rsidP="0BCD9809">
            <w:pPr>
              <w:rPr>
                <w:rFonts w:eastAsia="Arial"/>
                <w:color w:val="000000" w:themeColor="text1"/>
                <w:sz w:val="22"/>
                <w:szCs w:val="22"/>
              </w:rPr>
            </w:pPr>
            <w:r w:rsidRPr="0BCD9809">
              <w:rPr>
                <w:rFonts w:eastAsia="Arial"/>
                <w:color w:val="000000" w:themeColor="text1"/>
                <w:sz w:val="22"/>
                <w:szCs w:val="22"/>
              </w:rPr>
              <w:t>£452.01 and above</w:t>
            </w:r>
          </w:p>
        </w:tc>
        <w:tc>
          <w:tcPr>
            <w:tcW w:w="160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A526676" w14:textId="1583735D"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0%</w:t>
            </w:r>
          </w:p>
        </w:tc>
        <w:tc>
          <w:tcPr>
            <w:tcW w:w="25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E9A32CC" w14:textId="1C380397"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17</w:t>
            </w:r>
          </w:p>
        </w:tc>
        <w:tc>
          <w:tcPr>
            <w:tcW w:w="2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E14BE06" w14:textId="3CD73108" w:rsidR="0BCD9809" w:rsidRDefault="0BCD9809" w:rsidP="0BCD9809">
            <w:pPr>
              <w:rPr>
                <w:rFonts w:eastAsia="Arial"/>
                <w:color w:val="000000" w:themeColor="text1"/>
                <w:sz w:val="22"/>
                <w:szCs w:val="22"/>
              </w:rPr>
            </w:pPr>
            <w:r w:rsidRPr="0BCD9809">
              <w:rPr>
                <w:rFonts w:eastAsia="Arial"/>
                <w:color w:val="000000" w:themeColor="text1"/>
                <w:sz w:val="22"/>
                <w:szCs w:val="22"/>
              </w:rPr>
              <w:t>£</w:t>
            </w:r>
            <w:r w:rsidR="4FC9060F" w:rsidRPr="0BCD9809">
              <w:rPr>
                <w:rFonts w:eastAsia="Arial"/>
                <w:color w:val="000000" w:themeColor="text1"/>
                <w:sz w:val="22"/>
                <w:szCs w:val="22"/>
              </w:rPr>
              <w:t>7</w:t>
            </w:r>
            <w:r w:rsidRPr="0BCD9809">
              <w:rPr>
                <w:rFonts w:eastAsia="Arial"/>
                <w:color w:val="000000" w:themeColor="text1"/>
                <w:sz w:val="22"/>
                <w:szCs w:val="22"/>
              </w:rPr>
              <w:t>00.01 and above</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51CA45" w14:textId="73745DB1" w:rsidR="43DD3272" w:rsidRDefault="43DD3272" w:rsidP="0BCD9809">
            <w:pPr>
              <w:jc w:val="center"/>
              <w:rPr>
                <w:rFonts w:eastAsia="Arial"/>
                <w:color w:val="000000" w:themeColor="text1"/>
                <w:sz w:val="22"/>
                <w:szCs w:val="22"/>
              </w:rPr>
            </w:pPr>
            <w:r w:rsidRPr="0BCD9809">
              <w:rPr>
                <w:rFonts w:eastAsia="Arial"/>
                <w:color w:val="000000" w:themeColor="text1"/>
                <w:sz w:val="22"/>
                <w:szCs w:val="22"/>
              </w:rPr>
              <w:t>282</w:t>
            </w:r>
          </w:p>
        </w:tc>
        <w:tc>
          <w:tcPr>
            <w:tcW w:w="196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B33450D" w14:textId="7A6C6BEB" w:rsidR="0BCD9809" w:rsidRDefault="0BCD9809" w:rsidP="0BCD9809">
            <w:pPr>
              <w:jc w:val="center"/>
              <w:rPr>
                <w:rFonts w:eastAsia="Arial"/>
                <w:color w:val="000000" w:themeColor="text1"/>
                <w:sz w:val="22"/>
                <w:szCs w:val="22"/>
              </w:rPr>
            </w:pPr>
            <w:r w:rsidRPr="0BCD9809">
              <w:rPr>
                <w:rFonts w:eastAsia="Arial"/>
                <w:color w:val="000000" w:themeColor="text1"/>
                <w:sz w:val="22"/>
                <w:szCs w:val="22"/>
              </w:rPr>
              <w:t>-</w:t>
            </w:r>
            <w:r w:rsidR="01203DB0" w:rsidRPr="0BCD9809">
              <w:rPr>
                <w:rFonts w:eastAsia="Arial"/>
                <w:color w:val="000000" w:themeColor="text1"/>
                <w:sz w:val="22"/>
                <w:szCs w:val="22"/>
              </w:rPr>
              <w:t>265</w:t>
            </w:r>
          </w:p>
        </w:tc>
      </w:tr>
    </w:tbl>
    <w:p w14:paraId="67F95627" w14:textId="3FE7F3D7" w:rsidR="6E2F24C0" w:rsidRDefault="6E2F24C0" w:rsidP="6E2F24C0">
      <w:pPr>
        <w:spacing w:after="200" w:line="276" w:lineRule="auto"/>
        <w:rPr>
          <w:u w:val="single"/>
        </w:rPr>
      </w:pPr>
    </w:p>
    <w:p w14:paraId="6740CC9C" w14:textId="48B024E1" w:rsidR="3D299F6D" w:rsidRDefault="3D299F6D" w:rsidP="1AB8AF1D">
      <w:pPr>
        <w:pStyle w:val="ListParagraph"/>
        <w:spacing w:after="200" w:line="276" w:lineRule="auto"/>
        <w:rPr>
          <w:u w:val="single"/>
        </w:rPr>
      </w:pPr>
      <w:r w:rsidRPr="1AB8AF1D">
        <w:rPr>
          <w:u w:val="single"/>
        </w:rPr>
        <w:t>Example</w:t>
      </w:r>
    </w:p>
    <w:p w14:paraId="2916AE3F" w14:textId="298DAD9B" w:rsidR="3D299F6D" w:rsidRDefault="3D299F6D" w:rsidP="1AB8AF1D">
      <w:pPr>
        <w:pStyle w:val="ListParagraph"/>
        <w:spacing w:after="200" w:line="276" w:lineRule="auto"/>
        <w:rPr>
          <w:i/>
          <w:iCs/>
        </w:rPr>
      </w:pPr>
      <w:r w:rsidRPr="1AB8AF1D">
        <w:rPr>
          <w:i/>
          <w:iCs/>
        </w:rPr>
        <w:t>Income</w:t>
      </w:r>
      <w:r>
        <w:tab/>
      </w:r>
      <w:r>
        <w:tab/>
      </w:r>
      <w:r w:rsidRPr="1AB8AF1D">
        <w:rPr>
          <w:i/>
          <w:iCs/>
        </w:rPr>
        <w:t>UC of £100 per week and Earnings of £500</w:t>
      </w:r>
    </w:p>
    <w:p w14:paraId="1316D559" w14:textId="3BD064EB" w:rsidR="1AB8AF1D" w:rsidRDefault="1AB8AF1D" w:rsidP="1AB8AF1D">
      <w:pPr>
        <w:pStyle w:val="ListParagraph"/>
        <w:spacing w:after="200" w:line="276" w:lineRule="auto"/>
      </w:pPr>
    </w:p>
    <w:p w14:paraId="76D99554" w14:textId="1F9D1295" w:rsidR="3D299F6D" w:rsidRDefault="3D299F6D" w:rsidP="1AB8AF1D">
      <w:pPr>
        <w:pStyle w:val="ListParagraph"/>
        <w:spacing w:after="200" w:line="276" w:lineRule="auto"/>
        <w:rPr>
          <w:i/>
          <w:iCs/>
        </w:rPr>
      </w:pPr>
      <w:r w:rsidRPr="1AB8AF1D">
        <w:rPr>
          <w:i/>
          <w:iCs/>
        </w:rPr>
        <w:t>Current Scheme</w:t>
      </w:r>
      <w:r>
        <w:tab/>
      </w:r>
      <w:r w:rsidRPr="1AB8AF1D">
        <w:rPr>
          <w:i/>
          <w:iCs/>
        </w:rPr>
        <w:t>£100 would be used in the assessment of income for CTR</w:t>
      </w:r>
      <w:r w:rsidR="00CB44F5">
        <w:rPr>
          <w:i/>
          <w:iCs/>
        </w:rPr>
        <w:t xml:space="preserve"> with 100% discount </w:t>
      </w:r>
      <w:proofErr w:type="gramStart"/>
      <w:r w:rsidR="00CB44F5">
        <w:rPr>
          <w:i/>
          <w:iCs/>
        </w:rPr>
        <w:t>awarded</w:t>
      </w:r>
      <w:proofErr w:type="gramEnd"/>
    </w:p>
    <w:p w14:paraId="7376A95A" w14:textId="77777777" w:rsidR="00CB44F5" w:rsidRDefault="00CB44F5" w:rsidP="1AB8AF1D">
      <w:pPr>
        <w:pStyle w:val="ListParagraph"/>
        <w:spacing w:after="200" w:line="276" w:lineRule="auto"/>
        <w:rPr>
          <w:i/>
          <w:iCs/>
        </w:rPr>
      </w:pPr>
    </w:p>
    <w:p w14:paraId="2FE37444" w14:textId="2CABA803" w:rsidR="3D299F6D" w:rsidRDefault="3D299F6D" w:rsidP="1AB8AF1D">
      <w:pPr>
        <w:pStyle w:val="ListParagraph"/>
        <w:spacing w:after="200" w:line="276" w:lineRule="auto"/>
        <w:rPr>
          <w:i/>
          <w:iCs/>
        </w:rPr>
      </w:pPr>
      <w:r w:rsidRPr="1AB8AF1D">
        <w:rPr>
          <w:i/>
          <w:iCs/>
        </w:rPr>
        <w:t>Future Scheme</w:t>
      </w:r>
      <w:r>
        <w:tab/>
      </w:r>
      <w:r w:rsidRPr="1AB8AF1D">
        <w:rPr>
          <w:i/>
          <w:iCs/>
        </w:rPr>
        <w:t xml:space="preserve">£600 would be used in the assessment as this is the sum of the UC award and </w:t>
      </w:r>
      <w:proofErr w:type="gramStart"/>
      <w:r w:rsidRPr="1AB8AF1D">
        <w:rPr>
          <w:i/>
          <w:iCs/>
        </w:rPr>
        <w:t>earnings</w:t>
      </w:r>
      <w:proofErr w:type="gramEnd"/>
    </w:p>
    <w:p w14:paraId="1A53E686" w14:textId="62BCDC8D" w:rsidR="1AB8AF1D" w:rsidRDefault="1AB8AF1D" w:rsidP="1AB8AF1D">
      <w:pPr>
        <w:pStyle w:val="ListParagraph"/>
        <w:spacing w:after="200" w:line="276" w:lineRule="auto"/>
        <w:rPr>
          <w:i/>
          <w:iCs/>
        </w:rPr>
      </w:pPr>
    </w:p>
    <w:p w14:paraId="5C541E58" w14:textId="67DEB27F" w:rsidR="3D299F6D" w:rsidRDefault="3D299F6D" w:rsidP="1AB8AF1D">
      <w:pPr>
        <w:spacing w:after="200" w:line="276" w:lineRule="auto"/>
        <w:ind w:left="2880" w:hanging="2160"/>
        <w:rPr>
          <w:i/>
          <w:iCs/>
        </w:rPr>
      </w:pPr>
      <w:r w:rsidRPr="1AB8AF1D">
        <w:rPr>
          <w:i/>
          <w:iCs/>
        </w:rPr>
        <w:t>Impact</w:t>
      </w:r>
      <w:r>
        <w:tab/>
      </w:r>
      <w:r w:rsidRPr="1AB8AF1D">
        <w:rPr>
          <w:i/>
          <w:iCs/>
        </w:rPr>
        <w:t xml:space="preserve">A change would be applied as the banded income would change from a 100% award on the current scheme to a 75% on the scheme as set above.  </w:t>
      </w:r>
    </w:p>
    <w:p w14:paraId="5556549A" w14:textId="1D339916" w:rsidR="00986D14" w:rsidRPr="00FE1E98" w:rsidRDefault="7B03087C" w:rsidP="6E2F24C0">
      <w:pPr>
        <w:spacing w:after="200" w:line="276" w:lineRule="auto"/>
        <w:rPr>
          <w:u w:val="single"/>
        </w:rPr>
      </w:pPr>
      <w:r w:rsidRPr="6E2F24C0">
        <w:rPr>
          <w:u w:val="single"/>
        </w:rPr>
        <w:t xml:space="preserve">Points to </w:t>
      </w:r>
      <w:proofErr w:type="gramStart"/>
      <w:r w:rsidRPr="6E2F24C0">
        <w:rPr>
          <w:u w:val="single"/>
        </w:rPr>
        <w:t>note</w:t>
      </w:r>
      <w:proofErr w:type="gramEnd"/>
    </w:p>
    <w:p w14:paraId="361FEBDD" w14:textId="1683C0CE" w:rsidR="00986D14" w:rsidRPr="00FE1E98" w:rsidRDefault="6E54FFA2" w:rsidP="0BCD9809">
      <w:pPr>
        <w:pStyle w:val="ListParagraph"/>
        <w:numPr>
          <w:ilvl w:val="0"/>
          <w:numId w:val="2"/>
        </w:numPr>
        <w:spacing w:after="200" w:line="276" w:lineRule="auto"/>
      </w:pPr>
      <w:r>
        <w:t>265 claims will no longer receive any award of CTR.</w:t>
      </w:r>
    </w:p>
    <w:p w14:paraId="5E82F818" w14:textId="41A88E6E" w:rsidR="00986D14" w:rsidRPr="00FE1E98" w:rsidRDefault="6E54FFA2" w:rsidP="0BCD9809">
      <w:pPr>
        <w:pStyle w:val="ListParagraph"/>
        <w:numPr>
          <w:ilvl w:val="0"/>
          <w:numId w:val="2"/>
        </w:numPr>
        <w:spacing w:after="200" w:line="276" w:lineRule="auto"/>
      </w:pPr>
      <w:r>
        <w:t xml:space="preserve">To make the £90k saving the 100% </w:t>
      </w:r>
      <w:r w:rsidR="7D33B035">
        <w:t xml:space="preserve">income band </w:t>
      </w:r>
      <w:r>
        <w:t xml:space="preserve">needed to be reduced to meet the sum required.  Modelling of changing the </w:t>
      </w:r>
      <w:r w:rsidR="065580F8">
        <w:t xml:space="preserve">lowest percentage </w:t>
      </w:r>
      <w:r w:rsidR="1BD045F7">
        <w:t xml:space="preserve">bands only </w:t>
      </w:r>
      <w:r w:rsidR="065580F8">
        <w:t>would not achieve</w:t>
      </w:r>
      <w:r w:rsidR="53BB5C70">
        <w:t xml:space="preserve"> the saving required.</w:t>
      </w:r>
    </w:p>
    <w:p w14:paraId="7C4D2335" w14:textId="5AFA925D" w:rsidR="00986D14" w:rsidRPr="00FE1E98" w:rsidRDefault="7B03087C" w:rsidP="0BCD9809">
      <w:pPr>
        <w:pStyle w:val="ListParagraph"/>
        <w:numPr>
          <w:ilvl w:val="0"/>
          <w:numId w:val="2"/>
        </w:numPr>
        <w:spacing w:after="200" w:line="276" w:lineRule="auto"/>
      </w:pPr>
      <w:r>
        <w:lastRenderedPageBreak/>
        <w:t>For 2025/26, there will be an increase in Council Tax charge, and it is also suggested to increase these bands by CPI as of September 2024 to factor in the increase charge, so</w:t>
      </w:r>
      <w:r w:rsidR="140B7483">
        <w:t xml:space="preserve"> </w:t>
      </w:r>
      <w:r>
        <w:t>that these claims are not reduced twice in the same financial year.  T</w:t>
      </w:r>
      <w:r w:rsidR="4EBAF8AC">
        <w:t>h</w:t>
      </w:r>
      <w:r>
        <w:t>e C</w:t>
      </w:r>
      <w:r w:rsidR="1C1B20F8">
        <w:t>o</w:t>
      </w:r>
      <w:r>
        <w:t xml:space="preserve">uncil has each year agreed to increase the bands by CPI.  </w:t>
      </w:r>
    </w:p>
    <w:p w14:paraId="61B7DE3B" w14:textId="71659146" w:rsidR="00986D14" w:rsidRPr="00FE1E98" w:rsidRDefault="4D91E20B" w:rsidP="0BCD9809">
      <w:pPr>
        <w:pStyle w:val="ListParagraph"/>
        <w:numPr>
          <w:ilvl w:val="0"/>
          <w:numId w:val="2"/>
        </w:numPr>
        <w:spacing w:after="200" w:line="276" w:lineRule="auto"/>
      </w:pPr>
      <w:r>
        <w:t xml:space="preserve">Reducing all income bands does not detrimentally affect any </w:t>
      </w:r>
      <w:r w:rsidR="493003F0">
        <w:t>protected</w:t>
      </w:r>
      <w:r>
        <w:t xml:space="preserve"> group within the </w:t>
      </w:r>
      <w:bookmarkStart w:id="5" w:name="_Int_ZVSgxqwA"/>
      <w:proofErr w:type="gramStart"/>
      <w:r>
        <w:t>City</w:t>
      </w:r>
      <w:bookmarkEnd w:id="5"/>
      <w:proofErr w:type="gramEnd"/>
      <w:r>
        <w:t xml:space="preserve">. </w:t>
      </w:r>
    </w:p>
    <w:p w14:paraId="2E38DC46" w14:textId="5E116CA6" w:rsidR="00986D14" w:rsidRPr="00FE1E98" w:rsidRDefault="7F700641" w:rsidP="0BCD9809">
      <w:pPr>
        <w:pStyle w:val="ListParagraph"/>
        <w:numPr>
          <w:ilvl w:val="0"/>
          <w:numId w:val="2"/>
        </w:numPr>
        <w:spacing w:after="200" w:line="276" w:lineRule="auto"/>
      </w:pPr>
      <w:r>
        <w:t>The Council has a</w:t>
      </w:r>
      <w:r w:rsidR="7902D35E">
        <w:t>n</w:t>
      </w:r>
      <w:r>
        <w:t xml:space="preserve"> </w:t>
      </w:r>
      <w:r w:rsidR="2C5C26DE">
        <w:t>option</w:t>
      </w:r>
      <w:r>
        <w:t xml:space="preserve"> to award Section 13a awards to those families who </w:t>
      </w:r>
      <w:r w:rsidR="640EDD64">
        <w:t xml:space="preserve">may </w:t>
      </w:r>
      <w:r w:rsidR="7A9F8493">
        <w:t>experience</w:t>
      </w:r>
      <w:r w:rsidR="640EDD64">
        <w:t xml:space="preserve"> financial </w:t>
      </w:r>
      <w:r w:rsidR="3C53896F">
        <w:t>difficulty</w:t>
      </w:r>
      <w:r w:rsidR="640EDD64">
        <w:t xml:space="preserve"> with the change in the</w:t>
      </w:r>
      <w:r w:rsidR="6169C1EC">
        <w:t xml:space="preserve"> </w:t>
      </w:r>
      <w:r w:rsidR="640EDD64">
        <w:t>bands.  T</w:t>
      </w:r>
      <w:r w:rsidR="39A92680">
        <w:t>h</w:t>
      </w:r>
      <w:r w:rsidR="640EDD64">
        <w:t>e Council currently has £100k in this budget for this option and is part funded by the City and County.</w:t>
      </w:r>
    </w:p>
    <w:p w14:paraId="23F15A63" w14:textId="0BA0DD87" w:rsidR="00986D14" w:rsidRPr="00FE1E98" w:rsidRDefault="049491A9" w:rsidP="0BCD9809">
      <w:pPr>
        <w:pStyle w:val="ListParagraph"/>
        <w:numPr>
          <w:ilvl w:val="0"/>
          <w:numId w:val="2"/>
        </w:numPr>
        <w:spacing w:after="200" w:line="276" w:lineRule="auto"/>
      </w:pPr>
      <w:r>
        <w:t>There will be an increase in the cost of collection to those accounts who will receive a reduced award from the 2024/25.  This will be from</w:t>
      </w:r>
      <w:r w:rsidR="06866722">
        <w:t xml:space="preserve"> possible</w:t>
      </w:r>
      <w:r>
        <w:t xml:space="preserve"> increase in enquiries to the increase in a</w:t>
      </w:r>
      <w:r w:rsidR="55D01EEA">
        <w:t xml:space="preserve"> cost of collection of the</w:t>
      </w:r>
      <w:r>
        <w:t xml:space="preserve"> Council Tax.</w:t>
      </w:r>
      <w:r w:rsidR="23C83D1D">
        <w:t xml:space="preserve">  Due to the small number of accounts affected by the suggested table above, the service will absorb the increase in admin</w:t>
      </w:r>
      <w:r w:rsidR="09EBD6F5">
        <w:t>is</w:t>
      </w:r>
      <w:r w:rsidR="23C83D1D">
        <w:t>tration across both Revenues and Benefit staff</w:t>
      </w:r>
      <w:r w:rsidR="48810BC0">
        <w:t>.</w:t>
      </w:r>
    </w:p>
    <w:p w14:paraId="2A3E391B" w14:textId="3A4D953B" w:rsidR="00986D14" w:rsidRPr="00FE1E98" w:rsidRDefault="00986D14" w:rsidP="0BCD9809">
      <w:pPr>
        <w:pStyle w:val="ListParagraph"/>
        <w:numPr>
          <w:ilvl w:val="0"/>
          <w:numId w:val="2"/>
        </w:numPr>
        <w:spacing w:after="200" w:line="276" w:lineRule="auto"/>
      </w:pPr>
      <w:r>
        <w:t>The Institute of Fiscal Studies have issued a report (January 2019) around the impact of CTR schemes choices. Findings were:</w:t>
      </w:r>
    </w:p>
    <w:p w14:paraId="30218A17" w14:textId="77777777" w:rsidR="00986D14" w:rsidRPr="00FE1E98" w:rsidRDefault="00986D14" w:rsidP="0BCD9809">
      <w:pPr>
        <w:pStyle w:val="ListParagraph"/>
        <w:numPr>
          <w:ilvl w:val="0"/>
          <w:numId w:val="1"/>
        </w:numPr>
      </w:pPr>
      <w:r>
        <w:t xml:space="preserve">The most common payment is 20% towards the Council Tax </w:t>
      </w:r>
      <w:proofErr w:type="gramStart"/>
      <w:r>
        <w:t>due</w:t>
      </w:r>
      <w:proofErr w:type="gramEnd"/>
    </w:p>
    <w:p w14:paraId="11BB6090" w14:textId="77777777" w:rsidR="00986D14" w:rsidRPr="00FE1E98" w:rsidRDefault="00986D14" w:rsidP="0BCD9809">
      <w:pPr>
        <w:pStyle w:val="ListParagraph"/>
        <w:numPr>
          <w:ilvl w:val="0"/>
          <w:numId w:val="1"/>
        </w:numPr>
      </w:pPr>
      <w:r>
        <w:t xml:space="preserve">Half the cuts in CTR are to match the relevant Housing Benefit rule </w:t>
      </w:r>
      <w:proofErr w:type="gramStart"/>
      <w:r>
        <w:t>changes</w:t>
      </w:r>
      <w:proofErr w:type="gramEnd"/>
    </w:p>
    <w:p w14:paraId="5C741D5F" w14:textId="77777777" w:rsidR="00986D14" w:rsidRPr="00FE1E98" w:rsidRDefault="00986D14" w:rsidP="0BCD9809">
      <w:pPr>
        <w:pStyle w:val="ListParagraph"/>
        <w:numPr>
          <w:ilvl w:val="0"/>
          <w:numId w:val="1"/>
        </w:numPr>
      </w:pPr>
      <w:r>
        <w:t xml:space="preserve">An additional 1.6m households have a Council Tax charge due to the reduction in </w:t>
      </w:r>
      <w:proofErr w:type="gramStart"/>
      <w:r>
        <w:t>CTR</w:t>
      </w:r>
      <w:proofErr w:type="gramEnd"/>
    </w:p>
    <w:p w14:paraId="6D97B407" w14:textId="77777777" w:rsidR="00986D14" w:rsidRPr="00FE1E98" w:rsidRDefault="00986D14" w:rsidP="0BCD9809">
      <w:pPr>
        <w:pStyle w:val="ListParagraph"/>
        <w:numPr>
          <w:ilvl w:val="0"/>
          <w:numId w:val="1"/>
        </w:numPr>
      </w:pPr>
      <w:r>
        <w:t xml:space="preserve">The impact of a change in CTR will most likely be seen in deprived </w:t>
      </w:r>
      <w:proofErr w:type="gramStart"/>
      <w:r>
        <w:t>areas</w:t>
      </w:r>
      <w:proofErr w:type="gramEnd"/>
    </w:p>
    <w:p w14:paraId="6FE26DAC" w14:textId="77777777" w:rsidR="00986D14" w:rsidRPr="00FE1E98" w:rsidRDefault="00986D14" w:rsidP="0BCD9809">
      <w:pPr>
        <w:pStyle w:val="ListParagraph"/>
        <w:numPr>
          <w:ilvl w:val="0"/>
          <w:numId w:val="1"/>
        </w:numPr>
      </w:pPr>
      <w:r>
        <w:t xml:space="preserve">Poorer households in affluent areas will receive a larger bill due to the banding of </w:t>
      </w:r>
      <w:proofErr w:type="gramStart"/>
      <w:r>
        <w:t>property</w:t>
      </w:r>
      <w:proofErr w:type="gramEnd"/>
    </w:p>
    <w:p w14:paraId="5C964682" w14:textId="77777777" w:rsidR="00986D14" w:rsidRPr="00FE1E98" w:rsidRDefault="00986D14" w:rsidP="0BCD9809">
      <w:pPr>
        <w:pStyle w:val="ListParagraph"/>
        <w:numPr>
          <w:ilvl w:val="0"/>
          <w:numId w:val="1"/>
        </w:numPr>
      </w:pPr>
      <w:r>
        <w:t xml:space="preserve">25% of additional Council Tax raised is not </w:t>
      </w:r>
      <w:proofErr w:type="gramStart"/>
      <w:r>
        <w:t>collected</w:t>
      </w:r>
      <w:proofErr w:type="gramEnd"/>
    </w:p>
    <w:p w14:paraId="0C1BE024" w14:textId="77777777" w:rsidR="00986D14" w:rsidRPr="00FE1E98" w:rsidRDefault="00986D14" w:rsidP="0BCD9809">
      <w:pPr>
        <w:pStyle w:val="ListParagraph"/>
        <w:numPr>
          <w:ilvl w:val="0"/>
          <w:numId w:val="1"/>
        </w:numPr>
      </w:pPr>
      <w:r>
        <w:t xml:space="preserve">It takes additional years to recover smaller </w:t>
      </w:r>
      <w:proofErr w:type="gramStart"/>
      <w:r>
        <w:t>debts</w:t>
      </w:r>
      <w:proofErr w:type="gramEnd"/>
    </w:p>
    <w:p w14:paraId="247282AC" w14:textId="77777777" w:rsidR="00986D14" w:rsidRPr="00FE1E98" w:rsidRDefault="00986D14" w:rsidP="0BCD9809">
      <w:pPr>
        <w:pStyle w:val="ListParagraph"/>
        <w:numPr>
          <w:ilvl w:val="0"/>
          <w:numId w:val="1"/>
        </w:numPr>
      </w:pPr>
      <w:r>
        <w:t xml:space="preserve">More people are contacting advice centres for help with debt </w:t>
      </w:r>
      <w:proofErr w:type="gramStart"/>
      <w:r>
        <w:t>management</w:t>
      </w:r>
      <w:proofErr w:type="gramEnd"/>
    </w:p>
    <w:p w14:paraId="66D79C9B" w14:textId="59BEF941" w:rsidR="00205BBD" w:rsidRPr="000F1529" w:rsidRDefault="00986D14" w:rsidP="6E2F24C0">
      <w:pPr>
        <w:pStyle w:val="ListParagraph"/>
        <w:numPr>
          <w:ilvl w:val="0"/>
          <w:numId w:val="1"/>
        </w:numPr>
      </w:pPr>
      <w:r>
        <w:t xml:space="preserve">Those who are used to having a small sum to pay due to a reduced CTR entitlement will find the additional sum. Those </w:t>
      </w:r>
      <w:r w:rsidR="01363C0E">
        <w:t>first-time</w:t>
      </w:r>
      <w:r>
        <w:t xml:space="preserve"> payers will not.</w:t>
      </w:r>
    </w:p>
    <w:p w14:paraId="4E26596F" w14:textId="1B100D0F" w:rsidR="6E2F24C0" w:rsidRDefault="6E2F24C0" w:rsidP="6E2F24C0">
      <w:pPr>
        <w:rPr>
          <w:b/>
          <w:bCs/>
        </w:rPr>
      </w:pPr>
    </w:p>
    <w:p w14:paraId="789FC4B7" w14:textId="77777777" w:rsidR="00A1789F" w:rsidRPr="00403827" w:rsidRDefault="0006370D" w:rsidP="002D6DD3">
      <w:pPr>
        <w:pStyle w:val="ListParagraph"/>
        <w:numPr>
          <w:ilvl w:val="0"/>
          <w:numId w:val="31"/>
        </w:numPr>
        <w:rPr>
          <w:b/>
        </w:rPr>
      </w:pPr>
      <w:r w:rsidRPr="00403827">
        <w:rPr>
          <w:b/>
        </w:rPr>
        <w:t xml:space="preserve">Consideration </w:t>
      </w:r>
      <w:proofErr w:type="gramStart"/>
      <w:r w:rsidRPr="00403827">
        <w:rPr>
          <w:b/>
        </w:rPr>
        <w:t>needed</w:t>
      </w:r>
      <w:proofErr w:type="gramEnd"/>
    </w:p>
    <w:p w14:paraId="244A9B97" w14:textId="77777777" w:rsidR="00A1789F" w:rsidRPr="00403827" w:rsidRDefault="00A1789F" w:rsidP="00A1789F">
      <w:pPr>
        <w:rPr>
          <w:b/>
        </w:rPr>
      </w:pPr>
    </w:p>
    <w:p w14:paraId="08FC59E6" w14:textId="4684CC87" w:rsidR="00B25F89" w:rsidRPr="008A22C6" w:rsidRDefault="0016491E" w:rsidP="6E2F24C0">
      <w:pPr>
        <w:ind w:left="360"/>
      </w:pPr>
      <w:r>
        <w:t>Members are asked to</w:t>
      </w:r>
      <w:r w:rsidR="00552506">
        <w:t xml:space="preserve"> give their consideration to the changes that they wish to make to the </w:t>
      </w:r>
      <w:r w:rsidR="007F5753">
        <w:t xml:space="preserve">CTR scheme for </w:t>
      </w:r>
      <w:proofErr w:type="gramStart"/>
      <w:r w:rsidR="007F5753">
        <w:t>202</w:t>
      </w:r>
      <w:r w:rsidR="14C4AB4C">
        <w:t>5/26</w:t>
      </w:r>
      <w:proofErr w:type="gramEnd"/>
    </w:p>
    <w:sectPr w:rsidR="00B25F89" w:rsidRPr="008A22C6" w:rsidSect="00BD21CC">
      <w:headerReference w:type="default" r:id="rId8"/>
      <w:footerReference w:type="default" r:id="rId9"/>
      <w:pgSz w:w="16838" w:h="11906" w:orient="landscape"/>
      <w:pgMar w:top="1440" w:right="138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5B49" w14:textId="77777777" w:rsidR="00CB44F5" w:rsidRDefault="00CB44F5">
      <w:r>
        <w:separator/>
      </w:r>
    </w:p>
  </w:endnote>
  <w:endnote w:type="continuationSeparator" w:id="0">
    <w:p w14:paraId="5E28D730" w14:textId="77777777" w:rsidR="00CB44F5" w:rsidRDefault="00CB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70"/>
      <w:gridCol w:w="4670"/>
      <w:gridCol w:w="4670"/>
    </w:tblGrid>
    <w:tr w:rsidR="0BCD9809" w14:paraId="30F0A8E9" w14:textId="77777777" w:rsidTr="0BCD9809">
      <w:trPr>
        <w:trHeight w:val="300"/>
      </w:trPr>
      <w:tc>
        <w:tcPr>
          <w:tcW w:w="4670" w:type="dxa"/>
        </w:tcPr>
        <w:p w14:paraId="44A7BF7D" w14:textId="39869EA3" w:rsidR="0BCD9809" w:rsidRDefault="0BCD9809" w:rsidP="0BCD9809">
          <w:pPr>
            <w:pStyle w:val="Header"/>
            <w:ind w:left="-115"/>
          </w:pPr>
        </w:p>
      </w:tc>
      <w:tc>
        <w:tcPr>
          <w:tcW w:w="4670" w:type="dxa"/>
        </w:tcPr>
        <w:p w14:paraId="6067905D" w14:textId="70420C3F" w:rsidR="0BCD9809" w:rsidRDefault="0BCD9809" w:rsidP="0BCD9809">
          <w:pPr>
            <w:pStyle w:val="Header"/>
            <w:jc w:val="center"/>
          </w:pPr>
        </w:p>
      </w:tc>
      <w:tc>
        <w:tcPr>
          <w:tcW w:w="4670" w:type="dxa"/>
        </w:tcPr>
        <w:p w14:paraId="702CFBF9" w14:textId="38926E86" w:rsidR="0BCD9809" w:rsidRDefault="0BCD9809" w:rsidP="0BCD9809">
          <w:pPr>
            <w:pStyle w:val="Header"/>
            <w:ind w:right="-115"/>
            <w:jc w:val="right"/>
          </w:pPr>
          <w:r>
            <w:fldChar w:fldCharType="begin"/>
          </w:r>
          <w:r>
            <w:instrText>PAGE</w:instrText>
          </w:r>
          <w:r>
            <w:fldChar w:fldCharType="separate"/>
          </w:r>
          <w:r w:rsidR="00CB44F5">
            <w:rPr>
              <w:noProof/>
            </w:rPr>
            <w:t>1</w:t>
          </w:r>
          <w:r>
            <w:fldChar w:fldCharType="end"/>
          </w:r>
        </w:p>
      </w:tc>
    </w:tr>
  </w:tbl>
  <w:p w14:paraId="500CC01D" w14:textId="6C324323" w:rsidR="0BCD9809" w:rsidRDefault="0BCD9809" w:rsidP="0BCD9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07B1" w14:textId="77777777" w:rsidR="00CB44F5" w:rsidRDefault="00CB44F5">
      <w:r>
        <w:separator/>
      </w:r>
    </w:p>
  </w:footnote>
  <w:footnote w:type="continuationSeparator" w:id="0">
    <w:p w14:paraId="1C476225" w14:textId="77777777" w:rsidR="00CB44F5" w:rsidRDefault="00CB4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70"/>
      <w:gridCol w:w="4670"/>
      <w:gridCol w:w="4670"/>
    </w:tblGrid>
    <w:tr w:rsidR="0BCD9809" w14:paraId="1149134E" w14:textId="77777777" w:rsidTr="0BCD9809">
      <w:trPr>
        <w:trHeight w:val="300"/>
      </w:trPr>
      <w:tc>
        <w:tcPr>
          <w:tcW w:w="4670" w:type="dxa"/>
        </w:tcPr>
        <w:p w14:paraId="278D09A2" w14:textId="06E35256" w:rsidR="0BCD9809" w:rsidRDefault="0BCD9809" w:rsidP="0BCD9809">
          <w:pPr>
            <w:pStyle w:val="Header"/>
            <w:ind w:left="-115"/>
          </w:pPr>
        </w:p>
      </w:tc>
      <w:tc>
        <w:tcPr>
          <w:tcW w:w="4670" w:type="dxa"/>
        </w:tcPr>
        <w:p w14:paraId="371F17D2" w14:textId="69AABA02" w:rsidR="0BCD9809" w:rsidRDefault="0BCD9809" w:rsidP="0BCD9809">
          <w:pPr>
            <w:pStyle w:val="Header"/>
            <w:jc w:val="center"/>
          </w:pPr>
        </w:p>
      </w:tc>
      <w:tc>
        <w:tcPr>
          <w:tcW w:w="4670" w:type="dxa"/>
        </w:tcPr>
        <w:p w14:paraId="25E38231" w14:textId="1112151D" w:rsidR="0BCD9809" w:rsidRDefault="0BCD9809" w:rsidP="0BCD9809">
          <w:pPr>
            <w:pStyle w:val="Header"/>
            <w:ind w:right="-115"/>
            <w:jc w:val="right"/>
          </w:pPr>
        </w:p>
      </w:tc>
    </w:tr>
  </w:tbl>
  <w:p w14:paraId="539EDD95" w14:textId="30226069" w:rsidR="0BCD9809" w:rsidRDefault="0BCD9809" w:rsidP="0BCD9809">
    <w:pPr>
      <w:pStyle w:val="Header"/>
    </w:pPr>
  </w:p>
</w:hdr>
</file>

<file path=word/intelligence2.xml><?xml version="1.0" encoding="utf-8"?>
<int2:intelligence xmlns:int2="http://schemas.microsoft.com/office/intelligence/2020/intelligence" xmlns:oel="http://schemas.microsoft.com/office/2019/extlst">
  <int2:observations>
    <int2:textHash int2:hashCode="bj0PLHU70vNMVg" int2:id="MtrUEppi">
      <int2:state int2:value="Rejected" int2:type="AugLoop_Text_Critique"/>
    </int2:textHash>
    <int2:textHash int2:hashCode="g1/f7FOmPy2fnW" int2:id="Lk0xnWlz">
      <int2:state int2:value="Rejected" int2:type="AugLoop_Text_Critique"/>
    </int2:textHash>
    <int2:textHash int2:hashCode="2lwGTRyF98Rlyf" int2:id="DiafzctV">
      <int2:state int2:value="Rejected" int2:type="AugLoop_Text_Critique"/>
    </int2:textHash>
    <int2:textHash int2:hashCode="C1umt8lG3ES7+0" int2:id="sPJnAH8U">
      <int2:state int2:value="Rejected" int2:type="AugLoop_Text_Critique"/>
    </int2:textHash>
    <int2:textHash int2:hashCode="J5M+/hGTtgwB6A" int2:id="jPegkq0f">
      <int2:state int2:value="Rejected" int2:type="AugLoop_Text_Critique"/>
    </int2:textHash>
    <int2:textHash int2:hashCode="F0EH9c6KQrDTte" int2:id="OgY9drcu">
      <int2:state int2:value="Rejected" int2:type="AugLoop_Text_Critique"/>
    </int2:textHash>
    <int2:bookmark int2:bookmarkName="_Int_ZVSgxqwA" int2:invalidationBookmarkName="" int2:hashCode="QnFif08L72EEqV" int2:id="u1PyG2UT">
      <int2:state int2:value="Rejected" int2:type="AugLoop_Text_Critique"/>
    </int2:bookmark>
    <int2:bookmark int2:bookmarkName="_Int_JVML8rdv" int2:invalidationBookmarkName="" int2:hashCode="8LRoF4FPOuBCAF" int2:id="Vu556512">
      <int2:state int2:value="Rejected" int2:type="AugLoop_Text_Critique"/>
    </int2:bookmark>
    <int2:bookmark int2:bookmarkName="_Int_tjNm8Cds" int2:invalidationBookmarkName="" int2:hashCode="FsRj8Cjt3SvojP" int2:id="mLX7vMP6">
      <int2:state int2:value="Rejected" int2:type="AugLoop_Text_Critique"/>
    </int2:bookmark>
    <int2:bookmark int2:bookmarkName="_Int_oSanZkiT" int2:invalidationBookmarkName="" int2:hashCode="F1g1bbIXWffFoN" int2:id="gkghzBn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FC3"/>
    <w:multiLevelType w:val="hybridMultilevel"/>
    <w:tmpl w:val="C14277B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FFF5582"/>
    <w:multiLevelType w:val="hybridMultilevel"/>
    <w:tmpl w:val="4904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E53211"/>
    <w:multiLevelType w:val="multilevel"/>
    <w:tmpl w:val="A516E3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405FC7"/>
    <w:multiLevelType w:val="hybridMultilevel"/>
    <w:tmpl w:val="AF480A48"/>
    <w:lvl w:ilvl="0" w:tplc="C7A0D9DA">
      <w:start w:val="1"/>
      <w:numFmt w:val="bullet"/>
      <w:lvlText w:val=""/>
      <w:lvlJc w:val="left"/>
      <w:pPr>
        <w:ind w:left="1080" w:hanging="360"/>
      </w:pPr>
      <w:rPr>
        <w:rFonts w:ascii="Symbol" w:hAnsi="Symbol" w:hint="default"/>
      </w:rPr>
    </w:lvl>
    <w:lvl w:ilvl="1" w:tplc="36B044DE">
      <w:start w:val="1"/>
      <w:numFmt w:val="bullet"/>
      <w:lvlText w:val="o"/>
      <w:lvlJc w:val="left"/>
      <w:pPr>
        <w:ind w:left="1800" w:hanging="360"/>
      </w:pPr>
      <w:rPr>
        <w:rFonts w:ascii="Courier New" w:hAnsi="Courier New" w:hint="default"/>
      </w:rPr>
    </w:lvl>
    <w:lvl w:ilvl="2" w:tplc="5CF24830">
      <w:start w:val="1"/>
      <w:numFmt w:val="bullet"/>
      <w:lvlText w:val=""/>
      <w:lvlJc w:val="left"/>
      <w:pPr>
        <w:ind w:left="2520" w:hanging="360"/>
      </w:pPr>
      <w:rPr>
        <w:rFonts w:ascii="Wingdings" w:hAnsi="Wingdings" w:hint="default"/>
      </w:rPr>
    </w:lvl>
    <w:lvl w:ilvl="3" w:tplc="C6B25828">
      <w:start w:val="1"/>
      <w:numFmt w:val="bullet"/>
      <w:lvlText w:val=""/>
      <w:lvlJc w:val="left"/>
      <w:pPr>
        <w:ind w:left="3240" w:hanging="360"/>
      </w:pPr>
      <w:rPr>
        <w:rFonts w:ascii="Symbol" w:hAnsi="Symbol" w:hint="default"/>
      </w:rPr>
    </w:lvl>
    <w:lvl w:ilvl="4" w:tplc="72D82794">
      <w:start w:val="1"/>
      <w:numFmt w:val="bullet"/>
      <w:lvlText w:val="o"/>
      <w:lvlJc w:val="left"/>
      <w:pPr>
        <w:ind w:left="3960" w:hanging="360"/>
      </w:pPr>
      <w:rPr>
        <w:rFonts w:ascii="Courier New" w:hAnsi="Courier New" w:hint="default"/>
      </w:rPr>
    </w:lvl>
    <w:lvl w:ilvl="5" w:tplc="CBE23264">
      <w:start w:val="1"/>
      <w:numFmt w:val="bullet"/>
      <w:lvlText w:val=""/>
      <w:lvlJc w:val="left"/>
      <w:pPr>
        <w:ind w:left="4680" w:hanging="360"/>
      </w:pPr>
      <w:rPr>
        <w:rFonts w:ascii="Wingdings" w:hAnsi="Wingdings" w:hint="default"/>
      </w:rPr>
    </w:lvl>
    <w:lvl w:ilvl="6" w:tplc="9B92BF8C">
      <w:start w:val="1"/>
      <w:numFmt w:val="bullet"/>
      <w:lvlText w:val=""/>
      <w:lvlJc w:val="left"/>
      <w:pPr>
        <w:ind w:left="5400" w:hanging="360"/>
      </w:pPr>
      <w:rPr>
        <w:rFonts w:ascii="Symbol" w:hAnsi="Symbol" w:hint="default"/>
      </w:rPr>
    </w:lvl>
    <w:lvl w:ilvl="7" w:tplc="F280BD80">
      <w:start w:val="1"/>
      <w:numFmt w:val="bullet"/>
      <w:lvlText w:val="o"/>
      <w:lvlJc w:val="left"/>
      <w:pPr>
        <w:ind w:left="6120" w:hanging="360"/>
      </w:pPr>
      <w:rPr>
        <w:rFonts w:ascii="Courier New" w:hAnsi="Courier New" w:hint="default"/>
      </w:rPr>
    </w:lvl>
    <w:lvl w:ilvl="8" w:tplc="91D64BE8">
      <w:start w:val="1"/>
      <w:numFmt w:val="bullet"/>
      <w:lvlText w:val=""/>
      <w:lvlJc w:val="left"/>
      <w:pPr>
        <w:ind w:left="6840" w:hanging="360"/>
      </w:pPr>
      <w:rPr>
        <w:rFonts w:ascii="Wingdings" w:hAnsi="Wingdings" w:hint="default"/>
      </w:rPr>
    </w:lvl>
  </w:abstractNum>
  <w:abstractNum w:abstractNumId="4" w15:restartNumberingAfterBreak="0">
    <w:nsid w:val="1C1A4535"/>
    <w:multiLevelType w:val="hybridMultilevel"/>
    <w:tmpl w:val="6338B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7441F80"/>
    <w:multiLevelType w:val="hybridMultilevel"/>
    <w:tmpl w:val="C31A6A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1C05B50"/>
    <w:multiLevelType w:val="hybridMultilevel"/>
    <w:tmpl w:val="8C66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C6C03"/>
    <w:multiLevelType w:val="hybridMultilevel"/>
    <w:tmpl w:val="04FEF5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9C44A14"/>
    <w:multiLevelType w:val="hybridMultilevel"/>
    <w:tmpl w:val="AE16F4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15A10C"/>
    <w:multiLevelType w:val="hybridMultilevel"/>
    <w:tmpl w:val="A06A9E16"/>
    <w:lvl w:ilvl="0" w:tplc="336E498E">
      <w:start w:val="1"/>
      <w:numFmt w:val="bullet"/>
      <w:lvlText w:val=""/>
      <w:lvlJc w:val="left"/>
      <w:pPr>
        <w:ind w:left="1080" w:hanging="360"/>
      </w:pPr>
      <w:rPr>
        <w:rFonts w:ascii="Symbol" w:hAnsi="Symbol" w:hint="default"/>
      </w:rPr>
    </w:lvl>
    <w:lvl w:ilvl="1" w:tplc="1D14E05A">
      <w:start w:val="1"/>
      <w:numFmt w:val="bullet"/>
      <w:lvlText w:val="o"/>
      <w:lvlJc w:val="left"/>
      <w:pPr>
        <w:ind w:left="1800" w:hanging="360"/>
      </w:pPr>
      <w:rPr>
        <w:rFonts w:ascii="Courier New" w:hAnsi="Courier New" w:hint="default"/>
      </w:rPr>
    </w:lvl>
    <w:lvl w:ilvl="2" w:tplc="643477A8">
      <w:start w:val="1"/>
      <w:numFmt w:val="bullet"/>
      <w:lvlText w:val=""/>
      <w:lvlJc w:val="left"/>
      <w:pPr>
        <w:ind w:left="2520" w:hanging="360"/>
      </w:pPr>
      <w:rPr>
        <w:rFonts w:ascii="Wingdings" w:hAnsi="Wingdings" w:hint="default"/>
      </w:rPr>
    </w:lvl>
    <w:lvl w:ilvl="3" w:tplc="04B0355A">
      <w:start w:val="1"/>
      <w:numFmt w:val="bullet"/>
      <w:lvlText w:val=""/>
      <w:lvlJc w:val="left"/>
      <w:pPr>
        <w:ind w:left="3240" w:hanging="360"/>
      </w:pPr>
      <w:rPr>
        <w:rFonts w:ascii="Symbol" w:hAnsi="Symbol" w:hint="default"/>
      </w:rPr>
    </w:lvl>
    <w:lvl w:ilvl="4" w:tplc="2396AA50">
      <w:start w:val="1"/>
      <w:numFmt w:val="bullet"/>
      <w:lvlText w:val="o"/>
      <w:lvlJc w:val="left"/>
      <w:pPr>
        <w:ind w:left="3960" w:hanging="360"/>
      </w:pPr>
      <w:rPr>
        <w:rFonts w:ascii="Courier New" w:hAnsi="Courier New" w:hint="default"/>
      </w:rPr>
    </w:lvl>
    <w:lvl w:ilvl="5" w:tplc="4E6ACCF8">
      <w:start w:val="1"/>
      <w:numFmt w:val="bullet"/>
      <w:lvlText w:val=""/>
      <w:lvlJc w:val="left"/>
      <w:pPr>
        <w:ind w:left="4680" w:hanging="360"/>
      </w:pPr>
      <w:rPr>
        <w:rFonts w:ascii="Wingdings" w:hAnsi="Wingdings" w:hint="default"/>
      </w:rPr>
    </w:lvl>
    <w:lvl w:ilvl="6" w:tplc="ECEE2CD0">
      <w:start w:val="1"/>
      <w:numFmt w:val="bullet"/>
      <w:lvlText w:val=""/>
      <w:lvlJc w:val="left"/>
      <w:pPr>
        <w:ind w:left="5400" w:hanging="360"/>
      </w:pPr>
      <w:rPr>
        <w:rFonts w:ascii="Symbol" w:hAnsi="Symbol" w:hint="default"/>
      </w:rPr>
    </w:lvl>
    <w:lvl w:ilvl="7" w:tplc="979EF0EA">
      <w:start w:val="1"/>
      <w:numFmt w:val="bullet"/>
      <w:lvlText w:val="o"/>
      <w:lvlJc w:val="left"/>
      <w:pPr>
        <w:ind w:left="6120" w:hanging="360"/>
      </w:pPr>
      <w:rPr>
        <w:rFonts w:ascii="Courier New" w:hAnsi="Courier New" w:hint="default"/>
      </w:rPr>
    </w:lvl>
    <w:lvl w:ilvl="8" w:tplc="C74EAB1A">
      <w:start w:val="1"/>
      <w:numFmt w:val="bullet"/>
      <w:lvlText w:val=""/>
      <w:lvlJc w:val="left"/>
      <w:pPr>
        <w:ind w:left="6840" w:hanging="360"/>
      </w:pPr>
      <w:rPr>
        <w:rFonts w:ascii="Wingdings" w:hAnsi="Wingdings" w:hint="default"/>
      </w:rPr>
    </w:lvl>
  </w:abstractNum>
  <w:abstractNum w:abstractNumId="10" w15:restartNumberingAfterBreak="0">
    <w:nsid w:val="4052495D"/>
    <w:multiLevelType w:val="hybridMultilevel"/>
    <w:tmpl w:val="B7B42B0C"/>
    <w:lvl w:ilvl="0" w:tplc="C2969F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26523"/>
    <w:multiLevelType w:val="hybridMultilevel"/>
    <w:tmpl w:val="8F1EF2F6"/>
    <w:lvl w:ilvl="0" w:tplc="2B4E9AAC">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467B14E7"/>
    <w:multiLevelType w:val="multilevel"/>
    <w:tmpl w:val="52D06D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4A950C0C"/>
    <w:multiLevelType w:val="hybridMultilevel"/>
    <w:tmpl w:val="A154A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B106D6"/>
    <w:multiLevelType w:val="hybridMultilevel"/>
    <w:tmpl w:val="D1F4370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4FFD52EF"/>
    <w:multiLevelType w:val="hybridMultilevel"/>
    <w:tmpl w:val="FC6E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72C94"/>
    <w:multiLevelType w:val="hybridMultilevel"/>
    <w:tmpl w:val="DB840F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83946B6"/>
    <w:multiLevelType w:val="hybridMultilevel"/>
    <w:tmpl w:val="D1F2CF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B11BD9"/>
    <w:multiLevelType w:val="hybridMultilevel"/>
    <w:tmpl w:val="79789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EA3BAF"/>
    <w:multiLevelType w:val="hybridMultilevel"/>
    <w:tmpl w:val="DFB0F2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E6501FC"/>
    <w:multiLevelType w:val="hybridMultilevel"/>
    <w:tmpl w:val="B386A62A"/>
    <w:lvl w:ilvl="0" w:tplc="849E1302">
      <w:start w:val="1"/>
      <w:numFmt w:val="bullet"/>
      <w:lvlText w:val=""/>
      <w:lvlJc w:val="left"/>
      <w:pPr>
        <w:ind w:left="1800" w:hanging="360"/>
      </w:pPr>
      <w:rPr>
        <w:rFonts w:ascii="Symbol" w:hAnsi="Symbol" w:hint="default"/>
      </w:rPr>
    </w:lvl>
    <w:lvl w:ilvl="1" w:tplc="B71C53E4" w:tentative="1">
      <w:start w:val="1"/>
      <w:numFmt w:val="bullet"/>
      <w:lvlText w:val="o"/>
      <w:lvlJc w:val="left"/>
      <w:pPr>
        <w:ind w:left="2520" w:hanging="360"/>
      </w:pPr>
      <w:rPr>
        <w:rFonts w:ascii="Courier New" w:hAnsi="Courier New" w:hint="default"/>
      </w:rPr>
    </w:lvl>
    <w:lvl w:ilvl="2" w:tplc="BA76EA50" w:tentative="1">
      <w:start w:val="1"/>
      <w:numFmt w:val="bullet"/>
      <w:lvlText w:val=""/>
      <w:lvlJc w:val="left"/>
      <w:pPr>
        <w:ind w:left="3240" w:hanging="360"/>
      </w:pPr>
      <w:rPr>
        <w:rFonts w:ascii="Wingdings" w:hAnsi="Wingdings" w:hint="default"/>
      </w:rPr>
    </w:lvl>
    <w:lvl w:ilvl="3" w:tplc="8DCC4FC6" w:tentative="1">
      <w:start w:val="1"/>
      <w:numFmt w:val="bullet"/>
      <w:lvlText w:val=""/>
      <w:lvlJc w:val="left"/>
      <w:pPr>
        <w:ind w:left="3960" w:hanging="360"/>
      </w:pPr>
      <w:rPr>
        <w:rFonts w:ascii="Symbol" w:hAnsi="Symbol" w:hint="default"/>
      </w:rPr>
    </w:lvl>
    <w:lvl w:ilvl="4" w:tplc="E5E65FE6" w:tentative="1">
      <w:start w:val="1"/>
      <w:numFmt w:val="bullet"/>
      <w:lvlText w:val="o"/>
      <w:lvlJc w:val="left"/>
      <w:pPr>
        <w:ind w:left="4680" w:hanging="360"/>
      </w:pPr>
      <w:rPr>
        <w:rFonts w:ascii="Courier New" w:hAnsi="Courier New" w:hint="default"/>
      </w:rPr>
    </w:lvl>
    <w:lvl w:ilvl="5" w:tplc="816ED486" w:tentative="1">
      <w:start w:val="1"/>
      <w:numFmt w:val="bullet"/>
      <w:lvlText w:val=""/>
      <w:lvlJc w:val="left"/>
      <w:pPr>
        <w:ind w:left="5400" w:hanging="360"/>
      </w:pPr>
      <w:rPr>
        <w:rFonts w:ascii="Wingdings" w:hAnsi="Wingdings" w:hint="default"/>
      </w:rPr>
    </w:lvl>
    <w:lvl w:ilvl="6" w:tplc="D3DAE20C" w:tentative="1">
      <w:start w:val="1"/>
      <w:numFmt w:val="bullet"/>
      <w:lvlText w:val=""/>
      <w:lvlJc w:val="left"/>
      <w:pPr>
        <w:ind w:left="6120" w:hanging="360"/>
      </w:pPr>
      <w:rPr>
        <w:rFonts w:ascii="Symbol" w:hAnsi="Symbol" w:hint="default"/>
      </w:rPr>
    </w:lvl>
    <w:lvl w:ilvl="7" w:tplc="79B6DD12" w:tentative="1">
      <w:start w:val="1"/>
      <w:numFmt w:val="bullet"/>
      <w:lvlText w:val="o"/>
      <w:lvlJc w:val="left"/>
      <w:pPr>
        <w:ind w:left="6840" w:hanging="360"/>
      </w:pPr>
      <w:rPr>
        <w:rFonts w:ascii="Courier New" w:hAnsi="Courier New" w:hint="default"/>
      </w:rPr>
    </w:lvl>
    <w:lvl w:ilvl="8" w:tplc="7B0ACC04" w:tentative="1">
      <w:start w:val="1"/>
      <w:numFmt w:val="bullet"/>
      <w:lvlText w:val=""/>
      <w:lvlJc w:val="left"/>
      <w:pPr>
        <w:ind w:left="7560" w:hanging="360"/>
      </w:pPr>
      <w:rPr>
        <w:rFonts w:ascii="Wingdings" w:hAnsi="Wingdings" w:hint="default"/>
      </w:rPr>
    </w:lvl>
  </w:abstractNum>
  <w:abstractNum w:abstractNumId="21" w15:restartNumberingAfterBreak="0">
    <w:nsid w:val="631D0CB9"/>
    <w:multiLevelType w:val="hybridMultilevel"/>
    <w:tmpl w:val="5DC8349E"/>
    <w:lvl w:ilvl="0" w:tplc="F6AE08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E3164D"/>
    <w:multiLevelType w:val="hybridMultilevel"/>
    <w:tmpl w:val="4C98B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98F5EF4"/>
    <w:multiLevelType w:val="hybridMultilevel"/>
    <w:tmpl w:val="CA2ECC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69924C87"/>
    <w:multiLevelType w:val="hybridMultilevel"/>
    <w:tmpl w:val="F18E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01ACD"/>
    <w:multiLevelType w:val="hybridMultilevel"/>
    <w:tmpl w:val="1040B29A"/>
    <w:lvl w:ilvl="0" w:tplc="69CC3A70">
      <w:start w:val="1"/>
      <w:numFmt w:val="bullet"/>
      <w:lvlText w:val=""/>
      <w:lvlJc w:val="left"/>
      <w:pPr>
        <w:ind w:left="1080" w:hanging="360"/>
      </w:pPr>
      <w:rPr>
        <w:rFonts w:ascii="Symbol" w:hAnsi="Symbol" w:hint="default"/>
      </w:rPr>
    </w:lvl>
    <w:lvl w:ilvl="1" w:tplc="614630DC">
      <w:start w:val="1"/>
      <w:numFmt w:val="bullet"/>
      <w:lvlText w:val="o"/>
      <w:lvlJc w:val="left"/>
      <w:pPr>
        <w:ind w:left="1800" w:hanging="360"/>
      </w:pPr>
      <w:rPr>
        <w:rFonts w:ascii="Courier New" w:hAnsi="Courier New" w:hint="default"/>
      </w:rPr>
    </w:lvl>
    <w:lvl w:ilvl="2" w:tplc="F168B076">
      <w:start w:val="1"/>
      <w:numFmt w:val="bullet"/>
      <w:lvlText w:val=""/>
      <w:lvlJc w:val="left"/>
      <w:pPr>
        <w:ind w:left="2520" w:hanging="360"/>
      </w:pPr>
      <w:rPr>
        <w:rFonts w:ascii="Wingdings" w:hAnsi="Wingdings" w:hint="default"/>
      </w:rPr>
    </w:lvl>
    <w:lvl w:ilvl="3" w:tplc="1F5C6B58">
      <w:start w:val="1"/>
      <w:numFmt w:val="bullet"/>
      <w:lvlText w:val=""/>
      <w:lvlJc w:val="left"/>
      <w:pPr>
        <w:ind w:left="3240" w:hanging="360"/>
      </w:pPr>
      <w:rPr>
        <w:rFonts w:ascii="Symbol" w:hAnsi="Symbol" w:hint="default"/>
      </w:rPr>
    </w:lvl>
    <w:lvl w:ilvl="4" w:tplc="A6465F8E">
      <w:start w:val="1"/>
      <w:numFmt w:val="bullet"/>
      <w:lvlText w:val="o"/>
      <w:lvlJc w:val="left"/>
      <w:pPr>
        <w:ind w:left="3960" w:hanging="360"/>
      </w:pPr>
      <w:rPr>
        <w:rFonts w:ascii="Courier New" w:hAnsi="Courier New" w:hint="default"/>
      </w:rPr>
    </w:lvl>
    <w:lvl w:ilvl="5" w:tplc="46CEADA8">
      <w:start w:val="1"/>
      <w:numFmt w:val="bullet"/>
      <w:lvlText w:val=""/>
      <w:lvlJc w:val="left"/>
      <w:pPr>
        <w:ind w:left="4680" w:hanging="360"/>
      </w:pPr>
      <w:rPr>
        <w:rFonts w:ascii="Wingdings" w:hAnsi="Wingdings" w:hint="default"/>
      </w:rPr>
    </w:lvl>
    <w:lvl w:ilvl="6" w:tplc="7CDED678">
      <w:start w:val="1"/>
      <w:numFmt w:val="bullet"/>
      <w:lvlText w:val=""/>
      <w:lvlJc w:val="left"/>
      <w:pPr>
        <w:ind w:left="5400" w:hanging="360"/>
      </w:pPr>
      <w:rPr>
        <w:rFonts w:ascii="Symbol" w:hAnsi="Symbol" w:hint="default"/>
      </w:rPr>
    </w:lvl>
    <w:lvl w:ilvl="7" w:tplc="3A4A7270">
      <w:start w:val="1"/>
      <w:numFmt w:val="bullet"/>
      <w:lvlText w:val="o"/>
      <w:lvlJc w:val="left"/>
      <w:pPr>
        <w:ind w:left="6120" w:hanging="360"/>
      </w:pPr>
      <w:rPr>
        <w:rFonts w:ascii="Courier New" w:hAnsi="Courier New" w:hint="default"/>
      </w:rPr>
    </w:lvl>
    <w:lvl w:ilvl="8" w:tplc="ABB26B96">
      <w:start w:val="1"/>
      <w:numFmt w:val="bullet"/>
      <w:lvlText w:val=""/>
      <w:lvlJc w:val="left"/>
      <w:pPr>
        <w:ind w:left="6840" w:hanging="360"/>
      </w:pPr>
      <w:rPr>
        <w:rFonts w:ascii="Wingdings" w:hAnsi="Wingdings" w:hint="default"/>
      </w:rPr>
    </w:lvl>
  </w:abstractNum>
  <w:abstractNum w:abstractNumId="26" w15:restartNumberingAfterBreak="0">
    <w:nsid w:val="6ACE24B0"/>
    <w:multiLevelType w:val="hybridMultilevel"/>
    <w:tmpl w:val="510A688E"/>
    <w:lvl w:ilvl="0" w:tplc="08090001">
      <w:start w:val="1"/>
      <w:numFmt w:val="bullet"/>
      <w:lvlText w:val=""/>
      <w:lvlJc w:val="left"/>
      <w:pPr>
        <w:ind w:left="1572" w:hanging="360"/>
      </w:pPr>
      <w:rPr>
        <w:rFonts w:ascii="Symbol" w:hAnsi="Symbol" w:hint="default"/>
      </w:rPr>
    </w:lvl>
    <w:lvl w:ilvl="1" w:tplc="08090003">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27" w15:restartNumberingAfterBreak="0">
    <w:nsid w:val="6D9703BF"/>
    <w:multiLevelType w:val="hybridMultilevel"/>
    <w:tmpl w:val="B986D1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2BE3185"/>
    <w:multiLevelType w:val="hybridMultilevel"/>
    <w:tmpl w:val="140ED0F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3EB60E4"/>
    <w:multiLevelType w:val="hybridMultilevel"/>
    <w:tmpl w:val="2C901E02"/>
    <w:lvl w:ilvl="0" w:tplc="93EE83B0">
      <w:start w:val="1"/>
      <w:numFmt w:val="bullet"/>
      <w:lvlText w:val=""/>
      <w:lvlJc w:val="left"/>
      <w:pPr>
        <w:ind w:left="1800" w:hanging="360"/>
      </w:pPr>
      <w:rPr>
        <w:rFonts w:ascii="Wingdings" w:hAnsi="Wingdings" w:hint="default"/>
      </w:rPr>
    </w:lvl>
    <w:lvl w:ilvl="1" w:tplc="58B230C0">
      <w:start w:val="1"/>
      <w:numFmt w:val="bullet"/>
      <w:lvlText w:val="o"/>
      <w:lvlJc w:val="left"/>
      <w:pPr>
        <w:ind w:left="2520" w:hanging="360"/>
      </w:pPr>
      <w:rPr>
        <w:rFonts w:ascii="Courier New" w:hAnsi="Courier New" w:hint="default"/>
      </w:rPr>
    </w:lvl>
    <w:lvl w:ilvl="2" w:tplc="7A8E410A">
      <w:start w:val="1"/>
      <w:numFmt w:val="bullet"/>
      <w:lvlText w:val=""/>
      <w:lvlJc w:val="left"/>
      <w:pPr>
        <w:ind w:left="3240" w:hanging="360"/>
      </w:pPr>
      <w:rPr>
        <w:rFonts w:ascii="Wingdings" w:hAnsi="Wingdings" w:hint="default"/>
      </w:rPr>
    </w:lvl>
    <w:lvl w:ilvl="3" w:tplc="95124F08">
      <w:start w:val="1"/>
      <w:numFmt w:val="bullet"/>
      <w:lvlText w:val=""/>
      <w:lvlJc w:val="left"/>
      <w:pPr>
        <w:ind w:left="3960" w:hanging="360"/>
      </w:pPr>
      <w:rPr>
        <w:rFonts w:ascii="Symbol" w:hAnsi="Symbol" w:hint="default"/>
      </w:rPr>
    </w:lvl>
    <w:lvl w:ilvl="4" w:tplc="426A35C8">
      <w:start w:val="1"/>
      <w:numFmt w:val="bullet"/>
      <w:lvlText w:val="o"/>
      <w:lvlJc w:val="left"/>
      <w:pPr>
        <w:ind w:left="4680" w:hanging="360"/>
      </w:pPr>
      <w:rPr>
        <w:rFonts w:ascii="Courier New" w:hAnsi="Courier New" w:hint="default"/>
      </w:rPr>
    </w:lvl>
    <w:lvl w:ilvl="5" w:tplc="928EDFD6">
      <w:start w:val="1"/>
      <w:numFmt w:val="bullet"/>
      <w:lvlText w:val=""/>
      <w:lvlJc w:val="left"/>
      <w:pPr>
        <w:ind w:left="5400" w:hanging="360"/>
      </w:pPr>
      <w:rPr>
        <w:rFonts w:ascii="Wingdings" w:hAnsi="Wingdings" w:hint="default"/>
      </w:rPr>
    </w:lvl>
    <w:lvl w:ilvl="6" w:tplc="B7E8D598">
      <w:start w:val="1"/>
      <w:numFmt w:val="bullet"/>
      <w:lvlText w:val=""/>
      <w:lvlJc w:val="left"/>
      <w:pPr>
        <w:ind w:left="6120" w:hanging="360"/>
      </w:pPr>
      <w:rPr>
        <w:rFonts w:ascii="Symbol" w:hAnsi="Symbol" w:hint="default"/>
      </w:rPr>
    </w:lvl>
    <w:lvl w:ilvl="7" w:tplc="DF288AA8">
      <w:start w:val="1"/>
      <w:numFmt w:val="bullet"/>
      <w:lvlText w:val="o"/>
      <w:lvlJc w:val="left"/>
      <w:pPr>
        <w:ind w:left="6840" w:hanging="360"/>
      </w:pPr>
      <w:rPr>
        <w:rFonts w:ascii="Courier New" w:hAnsi="Courier New" w:hint="default"/>
      </w:rPr>
    </w:lvl>
    <w:lvl w:ilvl="8" w:tplc="D076D61C">
      <w:start w:val="1"/>
      <w:numFmt w:val="bullet"/>
      <w:lvlText w:val=""/>
      <w:lvlJc w:val="left"/>
      <w:pPr>
        <w:ind w:left="7560" w:hanging="360"/>
      </w:pPr>
      <w:rPr>
        <w:rFonts w:ascii="Wingdings" w:hAnsi="Wingdings" w:hint="default"/>
      </w:rPr>
    </w:lvl>
  </w:abstractNum>
  <w:abstractNum w:abstractNumId="30" w15:restartNumberingAfterBreak="0">
    <w:nsid w:val="73FC4886"/>
    <w:multiLevelType w:val="hybridMultilevel"/>
    <w:tmpl w:val="14C63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411E49E"/>
    <w:multiLevelType w:val="hybridMultilevel"/>
    <w:tmpl w:val="BEEA8F32"/>
    <w:lvl w:ilvl="0" w:tplc="DB004BB4">
      <w:start w:val="1"/>
      <w:numFmt w:val="bullet"/>
      <w:lvlText w:val=""/>
      <w:lvlJc w:val="left"/>
      <w:pPr>
        <w:ind w:left="1080" w:hanging="360"/>
      </w:pPr>
      <w:rPr>
        <w:rFonts w:ascii="Symbol" w:hAnsi="Symbol" w:hint="default"/>
      </w:rPr>
    </w:lvl>
    <w:lvl w:ilvl="1" w:tplc="C8285CF4">
      <w:start w:val="1"/>
      <w:numFmt w:val="bullet"/>
      <w:lvlText w:val="o"/>
      <w:lvlJc w:val="left"/>
      <w:pPr>
        <w:ind w:left="1800" w:hanging="360"/>
      </w:pPr>
      <w:rPr>
        <w:rFonts w:ascii="Courier New" w:hAnsi="Courier New" w:hint="default"/>
      </w:rPr>
    </w:lvl>
    <w:lvl w:ilvl="2" w:tplc="90F0E85C">
      <w:start w:val="1"/>
      <w:numFmt w:val="bullet"/>
      <w:lvlText w:val=""/>
      <w:lvlJc w:val="left"/>
      <w:pPr>
        <w:ind w:left="2520" w:hanging="360"/>
      </w:pPr>
      <w:rPr>
        <w:rFonts w:ascii="Wingdings" w:hAnsi="Wingdings" w:hint="default"/>
      </w:rPr>
    </w:lvl>
    <w:lvl w:ilvl="3" w:tplc="B148C774">
      <w:start w:val="1"/>
      <w:numFmt w:val="bullet"/>
      <w:lvlText w:val=""/>
      <w:lvlJc w:val="left"/>
      <w:pPr>
        <w:ind w:left="3240" w:hanging="360"/>
      </w:pPr>
      <w:rPr>
        <w:rFonts w:ascii="Symbol" w:hAnsi="Symbol" w:hint="default"/>
      </w:rPr>
    </w:lvl>
    <w:lvl w:ilvl="4" w:tplc="482C336E">
      <w:start w:val="1"/>
      <w:numFmt w:val="bullet"/>
      <w:lvlText w:val="o"/>
      <w:lvlJc w:val="left"/>
      <w:pPr>
        <w:ind w:left="3960" w:hanging="360"/>
      </w:pPr>
      <w:rPr>
        <w:rFonts w:ascii="Courier New" w:hAnsi="Courier New" w:hint="default"/>
      </w:rPr>
    </w:lvl>
    <w:lvl w:ilvl="5" w:tplc="5D749D00">
      <w:start w:val="1"/>
      <w:numFmt w:val="bullet"/>
      <w:lvlText w:val=""/>
      <w:lvlJc w:val="left"/>
      <w:pPr>
        <w:ind w:left="4680" w:hanging="360"/>
      </w:pPr>
      <w:rPr>
        <w:rFonts w:ascii="Wingdings" w:hAnsi="Wingdings" w:hint="default"/>
      </w:rPr>
    </w:lvl>
    <w:lvl w:ilvl="6" w:tplc="755EF3E6">
      <w:start w:val="1"/>
      <w:numFmt w:val="bullet"/>
      <w:lvlText w:val=""/>
      <w:lvlJc w:val="left"/>
      <w:pPr>
        <w:ind w:left="5400" w:hanging="360"/>
      </w:pPr>
      <w:rPr>
        <w:rFonts w:ascii="Symbol" w:hAnsi="Symbol" w:hint="default"/>
      </w:rPr>
    </w:lvl>
    <w:lvl w:ilvl="7" w:tplc="82F446C8">
      <w:start w:val="1"/>
      <w:numFmt w:val="bullet"/>
      <w:lvlText w:val="o"/>
      <w:lvlJc w:val="left"/>
      <w:pPr>
        <w:ind w:left="6120" w:hanging="360"/>
      </w:pPr>
      <w:rPr>
        <w:rFonts w:ascii="Courier New" w:hAnsi="Courier New" w:hint="default"/>
      </w:rPr>
    </w:lvl>
    <w:lvl w:ilvl="8" w:tplc="BA3ABE5A">
      <w:start w:val="1"/>
      <w:numFmt w:val="bullet"/>
      <w:lvlText w:val=""/>
      <w:lvlJc w:val="left"/>
      <w:pPr>
        <w:ind w:left="6840" w:hanging="360"/>
      </w:pPr>
      <w:rPr>
        <w:rFonts w:ascii="Wingdings" w:hAnsi="Wingdings" w:hint="default"/>
      </w:rPr>
    </w:lvl>
  </w:abstractNum>
  <w:abstractNum w:abstractNumId="32" w15:restartNumberingAfterBreak="0">
    <w:nsid w:val="76904E74"/>
    <w:multiLevelType w:val="hybridMultilevel"/>
    <w:tmpl w:val="52201418"/>
    <w:lvl w:ilvl="0" w:tplc="689CAE8A">
      <w:start w:val="6"/>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33" w15:restartNumberingAfterBreak="0">
    <w:nsid w:val="79631C55"/>
    <w:multiLevelType w:val="hybridMultilevel"/>
    <w:tmpl w:val="938AB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9B0174A"/>
    <w:multiLevelType w:val="hybridMultilevel"/>
    <w:tmpl w:val="8B3A9646"/>
    <w:lvl w:ilvl="0" w:tplc="83FE2E48">
      <w:start w:val="3"/>
      <w:numFmt w:val="decimal"/>
      <w:lvlText w:val="%1."/>
      <w:lvlJc w:val="left"/>
      <w:pPr>
        <w:ind w:left="720" w:hanging="360"/>
      </w:pPr>
      <w:rPr>
        <w:rFonts w:eastAsiaTheme="minorHAnsi" w:cs="Arial"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0273D5"/>
    <w:multiLevelType w:val="hybridMultilevel"/>
    <w:tmpl w:val="8B3A9646"/>
    <w:lvl w:ilvl="0" w:tplc="83FE2E48">
      <w:start w:val="3"/>
      <w:numFmt w:val="decimal"/>
      <w:lvlText w:val="%1."/>
      <w:lvlJc w:val="left"/>
      <w:pPr>
        <w:ind w:left="720" w:hanging="360"/>
      </w:pPr>
      <w:rPr>
        <w:rFonts w:eastAsiaTheme="minorHAnsi"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0F763E"/>
    <w:multiLevelType w:val="hybridMultilevel"/>
    <w:tmpl w:val="EED4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599061">
    <w:abstractNumId w:val="29"/>
  </w:num>
  <w:num w:numId="2" w16cid:durableId="921378702">
    <w:abstractNumId w:val="3"/>
  </w:num>
  <w:num w:numId="3" w16cid:durableId="1613246539">
    <w:abstractNumId w:val="31"/>
  </w:num>
  <w:num w:numId="4" w16cid:durableId="1987467005">
    <w:abstractNumId w:val="25"/>
  </w:num>
  <w:num w:numId="5" w16cid:durableId="1338653490">
    <w:abstractNumId w:val="9"/>
  </w:num>
  <w:num w:numId="6" w16cid:durableId="330186390">
    <w:abstractNumId w:val="13"/>
  </w:num>
  <w:num w:numId="7" w16cid:durableId="341972482">
    <w:abstractNumId w:val="5"/>
  </w:num>
  <w:num w:numId="8" w16cid:durableId="619802590">
    <w:abstractNumId w:val="4"/>
  </w:num>
  <w:num w:numId="9" w16cid:durableId="1065836813">
    <w:abstractNumId w:val="27"/>
  </w:num>
  <w:num w:numId="10" w16cid:durableId="293606927">
    <w:abstractNumId w:val="18"/>
  </w:num>
  <w:num w:numId="11" w16cid:durableId="437994409">
    <w:abstractNumId w:val="15"/>
  </w:num>
  <w:num w:numId="12" w16cid:durableId="1899972977">
    <w:abstractNumId w:val="26"/>
  </w:num>
  <w:num w:numId="13" w16cid:durableId="991642949">
    <w:abstractNumId w:val="14"/>
  </w:num>
  <w:num w:numId="14" w16cid:durableId="442457007">
    <w:abstractNumId w:val="28"/>
  </w:num>
  <w:num w:numId="15" w16cid:durableId="347102923">
    <w:abstractNumId w:val="6"/>
  </w:num>
  <w:num w:numId="16" w16cid:durableId="1262031148">
    <w:abstractNumId w:val="11"/>
  </w:num>
  <w:num w:numId="17" w16cid:durableId="1747335783">
    <w:abstractNumId w:val="2"/>
  </w:num>
  <w:num w:numId="18" w16cid:durableId="321202347">
    <w:abstractNumId w:val="33"/>
  </w:num>
  <w:num w:numId="19" w16cid:durableId="575823306">
    <w:abstractNumId w:val="30"/>
  </w:num>
  <w:num w:numId="20" w16cid:durableId="1383675787">
    <w:abstractNumId w:val="23"/>
  </w:num>
  <w:num w:numId="21" w16cid:durableId="578750718">
    <w:abstractNumId w:val="12"/>
  </w:num>
  <w:num w:numId="22" w16cid:durableId="590940991">
    <w:abstractNumId w:val="7"/>
  </w:num>
  <w:num w:numId="23" w16cid:durableId="832994633">
    <w:abstractNumId w:val="1"/>
  </w:num>
  <w:num w:numId="24" w16cid:durableId="1371613436">
    <w:abstractNumId w:val="24"/>
  </w:num>
  <w:num w:numId="25" w16cid:durableId="1343702445">
    <w:abstractNumId w:val="19"/>
  </w:num>
  <w:num w:numId="26" w16cid:durableId="2033528138">
    <w:abstractNumId w:val="8"/>
  </w:num>
  <w:num w:numId="27" w16cid:durableId="1779106571">
    <w:abstractNumId w:val="20"/>
  </w:num>
  <w:num w:numId="28" w16cid:durableId="1074015166">
    <w:abstractNumId w:val="22"/>
  </w:num>
  <w:num w:numId="29" w16cid:durableId="422266784">
    <w:abstractNumId w:val="21"/>
  </w:num>
  <w:num w:numId="30" w16cid:durableId="520515043">
    <w:abstractNumId w:val="10"/>
  </w:num>
  <w:num w:numId="31" w16cid:durableId="917592406">
    <w:abstractNumId w:val="34"/>
  </w:num>
  <w:num w:numId="32" w16cid:durableId="16464975">
    <w:abstractNumId w:val="32"/>
  </w:num>
  <w:num w:numId="33" w16cid:durableId="2144349552">
    <w:abstractNumId w:val="16"/>
  </w:num>
  <w:num w:numId="34" w16cid:durableId="1753771435">
    <w:abstractNumId w:val="17"/>
  </w:num>
  <w:num w:numId="35" w16cid:durableId="1142042130">
    <w:abstractNumId w:val="36"/>
  </w:num>
  <w:num w:numId="36" w16cid:durableId="1518882662">
    <w:abstractNumId w:val="0"/>
  </w:num>
  <w:num w:numId="37" w16cid:durableId="2521303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69"/>
    <w:rsid w:val="00002FBE"/>
    <w:rsid w:val="00025A23"/>
    <w:rsid w:val="00045B8B"/>
    <w:rsid w:val="00052C12"/>
    <w:rsid w:val="0005562A"/>
    <w:rsid w:val="000557C4"/>
    <w:rsid w:val="00061595"/>
    <w:rsid w:val="0006370D"/>
    <w:rsid w:val="000651CD"/>
    <w:rsid w:val="00097F08"/>
    <w:rsid w:val="000B4310"/>
    <w:rsid w:val="000C48E0"/>
    <w:rsid w:val="000C66C1"/>
    <w:rsid w:val="000D3D2F"/>
    <w:rsid w:val="000E669F"/>
    <w:rsid w:val="000F1529"/>
    <w:rsid w:val="000F1F9F"/>
    <w:rsid w:val="00117F06"/>
    <w:rsid w:val="001254EF"/>
    <w:rsid w:val="00136557"/>
    <w:rsid w:val="0016491E"/>
    <w:rsid w:val="00170062"/>
    <w:rsid w:val="00195C9D"/>
    <w:rsid w:val="0019664A"/>
    <w:rsid w:val="001B61B8"/>
    <w:rsid w:val="001C2CD4"/>
    <w:rsid w:val="001C6ED1"/>
    <w:rsid w:val="001E4BB3"/>
    <w:rsid w:val="001F4C41"/>
    <w:rsid w:val="00205BBD"/>
    <w:rsid w:val="00206A16"/>
    <w:rsid w:val="002127E6"/>
    <w:rsid w:val="00227262"/>
    <w:rsid w:val="00232950"/>
    <w:rsid w:val="00232F95"/>
    <w:rsid w:val="00252140"/>
    <w:rsid w:val="00252488"/>
    <w:rsid w:val="00254C9C"/>
    <w:rsid w:val="00270EF6"/>
    <w:rsid w:val="00295D1C"/>
    <w:rsid w:val="00297091"/>
    <w:rsid w:val="002B0E0D"/>
    <w:rsid w:val="002C20EC"/>
    <w:rsid w:val="002D6DD3"/>
    <w:rsid w:val="002E160D"/>
    <w:rsid w:val="002E53A8"/>
    <w:rsid w:val="00310E72"/>
    <w:rsid w:val="003319B5"/>
    <w:rsid w:val="00334E1F"/>
    <w:rsid w:val="003441E9"/>
    <w:rsid w:val="0036028A"/>
    <w:rsid w:val="003779AF"/>
    <w:rsid w:val="00381986"/>
    <w:rsid w:val="0039707F"/>
    <w:rsid w:val="003A32D9"/>
    <w:rsid w:val="003B6309"/>
    <w:rsid w:val="003D6571"/>
    <w:rsid w:val="003F1ADF"/>
    <w:rsid w:val="003F4E65"/>
    <w:rsid w:val="004000D7"/>
    <w:rsid w:val="00403827"/>
    <w:rsid w:val="00410F4D"/>
    <w:rsid w:val="004431CA"/>
    <w:rsid w:val="00452A4F"/>
    <w:rsid w:val="00462522"/>
    <w:rsid w:val="004648A2"/>
    <w:rsid w:val="00474F6B"/>
    <w:rsid w:val="0048643D"/>
    <w:rsid w:val="004936F7"/>
    <w:rsid w:val="004A24BF"/>
    <w:rsid w:val="004D4C7F"/>
    <w:rsid w:val="004E3FB4"/>
    <w:rsid w:val="004E4E46"/>
    <w:rsid w:val="00501ABA"/>
    <w:rsid w:val="00504E43"/>
    <w:rsid w:val="00526D3E"/>
    <w:rsid w:val="00533903"/>
    <w:rsid w:val="00535A1E"/>
    <w:rsid w:val="005362E7"/>
    <w:rsid w:val="00542190"/>
    <w:rsid w:val="00552506"/>
    <w:rsid w:val="00554059"/>
    <w:rsid w:val="005644A1"/>
    <w:rsid w:val="00572D72"/>
    <w:rsid w:val="005974A8"/>
    <w:rsid w:val="005A1200"/>
    <w:rsid w:val="005C0360"/>
    <w:rsid w:val="005D0FA7"/>
    <w:rsid w:val="005D34A9"/>
    <w:rsid w:val="005F7237"/>
    <w:rsid w:val="006009FE"/>
    <w:rsid w:val="00602D05"/>
    <w:rsid w:val="0061482A"/>
    <w:rsid w:val="0061679B"/>
    <w:rsid w:val="00625EC3"/>
    <w:rsid w:val="0063133A"/>
    <w:rsid w:val="0063653C"/>
    <w:rsid w:val="00650402"/>
    <w:rsid w:val="00654CB7"/>
    <w:rsid w:val="006728AC"/>
    <w:rsid w:val="006969D1"/>
    <w:rsid w:val="006A1E08"/>
    <w:rsid w:val="006B0753"/>
    <w:rsid w:val="006C620A"/>
    <w:rsid w:val="006CF5BC"/>
    <w:rsid w:val="006F0D41"/>
    <w:rsid w:val="006F33C2"/>
    <w:rsid w:val="0073443E"/>
    <w:rsid w:val="00752C25"/>
    <w:rsid w:val="0075370A"/>
    <w:rsid w:val="00762243"/>
    <w:rsid w:val="0077104C"/>
    <w:rsid w:val="007734B3"/>
    <w:rsid w:val="007908F4"/>
    <w:rsid w:val="00795D99"/>
    <w:rsid w:val="007962D6"/>
    <w:rsid w:val="007B2C2D"/>
    <w:rsid w:val="007C55DC"/>
    <w:rsid w:val="007D608B"/>
    <w:rsid w:val="007F5753"/>
    <w:rsid w:val="007F6F6F"/>
    <w:rsid w:val="0080070E"/>
    <w:rsid w:val="00820FF5"/>
    <w:rsid w:val="00841F36"/>
    <w:rsid w:val="0085571F"/>
    <w:rsid w:val="00860F16"/>
    <w:rsid w:val="00872383"/>
    <w:rsid w:val="00884952"/>
    <w:rsid w:val="00884EAE"/>
    <w:rsid w:val="00895327"/>
    <w:rsid w:val="008A22C6"/>
    <w:rsid w:val="008D6141"/>
    <w:rsid w:val="008D645F"/>
    <w:rsid w:val="008E74DC"/>
    <w:rsid w:val="008F4BD6"/>
    <w:rsid w:val="009003B3"/>
    <w:rsid w:val="00936B03"/>
    <w:rsid w:val="00943063"/>
    <w:rsid w:val="00946AA4"/>
    <w:rsid w:val="00953297"/>
    <w:rsid w:val="0096113E"/>
    <w:rsid w:val="0096EA24"/>
    <w:rsid w:val="00971576"/>
    <w:rsid w:val="00986D14"/>
    <w:rsid w:val="00987B8F"/>
    <w:rsid w:val="009A45CA"/>
    <w:rsid w:val="009B3FAD"/>
    <w:rsid w:val="009C520C"/>
    <w:rsid w:val="009D76D4"/>
    <w:rsid w:val="009F182D"/>
    <w:rsid w:val="00A11C4F"/>
    <w:rsid w:val="00A1789F"/>
    <w:rsid w:val="00A42A1A"/>
    <w:rsid w:val="00A4389F"/>
    <w:rsid w:val="00A83374"/>
    <w:rsid w:val="00AB28C6"/>
    <w:rsid w:val="00AC510E"/>
    <w:rsid w:val="00AD024B"/>
    <w:rsid w:val="00AD1D13"/>
    <w:rsid w:val="00AD6BB6"/>
    <w:rsid w:val="00B01CFA"/>
    <w:rsid w:val="00B0210F"/>
    <w:rsid w:val="00B04D94"/>
    <w:rsid w:val="00B141BB"/>
    <w:rsid w:val="00B25F89"/>
    <w:rsid w:val="00B55BBE"/>
    <w:rsid w:val="00B70AFD"/>
    <w:rsid w:val="00B70F75"/>
    <w:rsid w:val="00B75B61"/>
    <w:rsid w:val="00BC6663"/>
    <w:rsid w:val="00BD0A92"/>
    <w:rsid w:val="00BD21CC"/>
    <w:rsid w:val="00BD59B0"/>
    <w:rsid w:val="00BE284B"/>
    <w:rsid w:val="00BE735D"/>
    <w:rsid w:val="00C03F49"/>
    <w:rsid w:val="00C07F80"/>
    <w:rsid w:val="00C128E2"/>
    <w:rsid w:val="00C22ECF"/>
    <w:rsid w:val="00C33042"/>
    <w:rsid w:val="00C5906F"/>
    <w:rsid w:val="00C6614E"/>
    <w:rsid w:val="00C90E2D"/>
    <w:rsid w:val="00C962B3"/>
    <w:rsid w:val="00CA1C7B"/>
    <w:rsid w:val="00CB44F5"/>
    <w:rsid w:val="00CC5F4C"/>
    <w:rsid w:val="00CE3710"/>
    <w:rsid w:val="00CE658D"/>
    <w:rsid w:val="00D10812"/>
    <w:rsid w:val="00D3352D"/>
    <w:rsid w:val="00D520E4"/>
    <w:rsid w:val="00D5913D"/>
    <w:rsid w:val="00D868CB"/>
    <w:rsid w:val="00DA7C74"/>
    <w:rsid w:val="00DA7D5E"/>
    <w:rsid w:val="00DB1BD6"/>
    <w:rsid w:val="00DC5DBD"/>
    <w:rsid w:val="00DC5E3A"/>
    <w:rsid w:val="00E27916"/>
    <w:rsid w:val="00E318E4"/>
    <w:rsid w:val="00E4736F"/>
    <w:rsid w:val="00E7366A"/>
    <w:rsid w:val="00E9636A"/>
    <w:rsid w:val="00EA28C1"/>
    <w:rsid w:val="00EB1088"/>
    <w:rsid w:val="00EB6D3D"/>
    <w:rsid w:val="00EC785E"/>
    <w:rsid w:val="00ED3524"/>
    <w:rsid w:val="00ED5C40"/>
    <w:rsid w:val="00EF6F7F"/>
    <w:rsid w:val="00F04A1B"/>
    <w:rsid w:val="00F0506F"/>
    <w:rsid w:val="00F234B7"/>
    <w:rsid w:val="00F26B69"/>
    <w:rsid w:val="00F638CF"/>
    <w:rsid w:val="00F67A04"/>
    <w:rsid w:val="00FA4B3C"/>
    <w:rsid w:val="00FB3E29"/>
    <w:rsid w:val="00FB59BA"/>
    <w:rsid w:val="00FC114C"/>
    <w:rsid w:val="00FC2C36"/>
    <w:rsid w:val="00FD3A85"/>
    <w:rsid w:val="00FE1E98"/>
    <w:rsid w:val="00FF25D1"/>
    <w:rsid w:val="01203DB0"/>
    <w:rsid w:val="012CECF7"/>
    <w:rsid w:val="01363C0E"/>
    <w:rsid w:val="0176E762"/>
    <w:rsid w:val="01BBBAE9"/>
    <w:rsid w:val="01BF9B4A"/>
    <w:rsid w:val="020C3F23"/>
    <w:rsid w:val="025BE31E"/>
    <w:rsid w:val="026FAA2D"/>
    <w:rsid w:val="028AEC5F"/>
    <w:rsid w:val="02A6AD0A"/>
    <w:rsid w:val="02AF1A94"/>
    <w:rsid w:val="02E185D4"/>
    <w:rsid w:val="02F24BA2"/>
    <w:rsid w:val="039498E4"/>
    <w:rsid w:val="03A9AD16"/>
    <w:rsid w:val="03B88C91"/>
    <w:rsid w:val="03D408A7"/>
    <w:rsid w:val="03DF0F79"/>
    <w:rsid w:val="03EE7EA6"/>
    <w:rsid w:val="044833DF"/>
    <w:rsid w:val="049491A9"/>
    <w:rsid w:val="04B23627"/>
    <w:rsid w:val="05747586"/>
    <w:rsid w:val="05A39366"/>
    <w:rsid w:val="06303FC7"/>
    <w:rsid w:val="0634785B"/>
    <w:rsid w:val="0634B3D4"/>
    <w:rsid w:val="063E1785"/>
    <w:rsid w:val="065580F8"/>
    <w:rsid w:val="06866722"/>
    <w:rsid w:val="068FA250"/>
    <w:rsid w:val="06D5D36C"/>
    <w:rsid w:val="06F43E0F"/>
    <w:rsid w:val="07125942"/>
    <w:rsid w:val="071C5AAC"/>
    <w:rsid w:val="07224B3F"/>
    <w:rsid w:val="0782CD7A"/>
    <w:rsid w:val="0793CDF5"/>
    <w:rsid w:val="079C68B6"/>
    <w:rsid w:val="07D7B780"/>
    <w:rsid w:val="07D90B2A"/>
    <w:rsid w:val="08356417"/>
    <w:rsid w:val="08AF65D9"/>
    <w:rsid w:val="08FF91CA"/>
    <w:rsid w:val="091D48D0"/>
    <w:rsid w:val="09272018"/>
    <w:rsid w:val="095CE315"/>
    <w:rsid w:val="09618BF0"/>
    <w:rsid w:val="096AB964"/>
    <w:rsid w:val="099C4134"/>
    <w:rsid w:val="09A94A09"/>
    <w:rsid w:val="09D93397"/>
    <w:rsid w:val="09EBD6F5"/>
    <w:rsid w:val="0A1CF4DA"/>
    <w:rsid w:val="0A2A06E4"/>
    <w:rsid w:val="0A928B64"/>
    <w:rsid w:val="0AF1D291"/>
    <w:rsid w:val="0AF372D1"/>
    <w:rsid w:val="0AF691E0"/>
    <w:rsid w:val="0AFBD80C"/>
    <w:rsid w:val="0B12FFEF"/>
    <w:rsid w:val="0BB1B417"/>
    <w:rsid w:val="0BCD9809"/>
    <w:rsid w:val="0C37DDC0"/>
    <w:rsid w:val="0C6081DD"/>
    <w:rsid w:val="0C95A880"/>
    <w:rsid w:val="0CE8CBED"/>
    <w:rsid w:val="0D01057F"/>
    <w:rsid w:val="0D61FBA9"/>
    <w:rsid w:val="0DA36505"/>
    <w:rsid w:val="0DBBC361"/>
    <w:rsid w:val="0E5212B3"/>
    <w:rsid w:val="0E6BA45B"/>
    <w:rsid w:val="0F39E139"/>
    <w:rsid w:val="0F4C8871"/>
    <w:rsid w:val="0F867B20"/>
    <w:rsid w:val="0F9EB49F"/>
    <w:rsid w:val="0FAB8C6E"/>
    <w:rsid w:val="108C4F2F"/>
    <w:rsid w:val="1097B0AE"/>
    <w:rsid w:val="10EF2C6C"/>
    <w:rsid w:val="10F95C9F"/>
    <w:rsid w:val="110B4D62"/>
    <w:rsid w:val="1110DC3D"/>
    <w:rsid w:val="111BE63D"/>
    <w:rsid w:val="112DC436"/>
    <w:rsid w:val="1174DB2F"/>
    <w:rsid w:val="11D302D3"/>
    <w:rsid w:val="11EDA632"/>
    <w:rsid w:val="1210EBDD"/>
    <w:rsid w:val="1257A2F0"/>
    <w:rsid w:val="125E789C"/>
    <w:rsid w:val="130694AE"/>
    <w:rsid w:val="132E2C13"/>
    <w:rsid w:val="13AF31E8"/>
    <w:rsid w:val="13C6F3BF"/>
    <w:rsid w:val="13E03380"/>
    <w:rsid w:val="13F07094"/>
    <w:rsid w:val="140B7483"/>
    <w:rsid w:val="14190479"/>
    <w:rsid w:val="14420313"/>
    <w:rsid w:val="14A66678"/>
    <w:rsid w:val="14ACBB5F"/>
    <w:rsid w:val="14C4AB4C"/>
    <w:rsid w:val="14E11F5E"/>
    <w:rsid w:val="156682A0"/>
    <w:rsid w:val="15736409"/>
    <w:rsid w:val="15F2E8EE"/>
    <w:rsid w:val="15F4909D"/>
    <w:rsid w:val="1696D9E9"/>
    <w:rsid w:val="16B2890E"/>
    <w:rsid w:val="17264B6C"/>
    <w:rsid w:val="1759CC8C"/>
    <w:rsid w:val="178D192D"/>
    <w:rsid w:val="179281C4"/>
    <w:rsid w:val="17A3BFEC"/>
    <w:rsid w:val="17DA9594"/>
    <w:rsid w:val="1854165E"/>
    <w:rsid w:val="18640152"/>
    <w:rsid w:val="18C0EC4A"/>
    <w:rsid w:val="18C97104"/>
    <w:rsid w:val="18D40A2A"/>
    <w:rsid w:val="195D74FF"/>
    <w:rsid w:val="196FC9B4"/>
    <w:rsid w:val="19E16383"/>
    <w:rsid w:val="1A3675FD"/>
    <w:rsid w:val="1A4340C4"/>
    <w:rsid w:val="1AA2FA94"/>
    <w:rsid w:val="1AB55A17"/>
    <w:rsid w:val="1AB8AF1D"/>
    <w:rsid w:val="1ACB8FCC"/>
    <w:rsid w:val="1B47A3A5"/>
    <w:rsid w:val="1B6BCF63"/>
    <w:rsid w:val="1B815C9D"/>
    <w:rsid w:val="1B99883D"/>
    <w:rsid w:val="1BD045F7"/>
    <w:rsid w:val="1C186D41"/>
    <w:rsid w:val="1C1B20F8"/>
    <w:rsid w:val="1C812A3B"/>
    <w:rsid w:val="1C96EAD0"/>
    <w:rsid w:val="1CD2E715"/>
    <w:rsid w:val="1CDCBB80"/>
    <w:rsid w:val="1CF5EEA3"/>
    <w:rsid w:val="1D22E48D"/>
    <w:rsid w:val="1D4F8003"/>
    <w:rsid w:val="1DDC5538"/>
    <w:rsid w:val="1DF4CFDE"/>
    <w:rsid w:val="1E10EBD7"/>
    <w:rsid w:val="1E24AD60"/>
    <w:rsid w:val="1E681FC3"/>
    <w:rsid w:val="1EC9B862"/>
    <w:rsid w:val="1EFCD8A7"/>
    <w:rsid w:val="1F343F45"/>
    <w:rsid w:val="1F61CE02"/>
    <w:rsid w:val="1FDADD52"/>
    <w:rsid w:val="1FE984AA"/>
    <w:rsid w:val="20421FAE"/>
    <w:rsid w:val="204A5EA5"/>
    <w:rsid w:val="205D0A7A"/>
    <w:rsid w:val="20706173"/>
    <w:rsid w:val="20B3E8CB"/>
    <w:rsid w:val="20BB53EC"/>
    <w:rsid w:val="20EF7D27"/>
    <w:rsid w:val="212E0CB6"/>
    <w:rsid w:val="21451603"/>
    <w:rsid w:val="216F0F41"/>
    <w:rsid w:val="219EBC8C"/>
    <w:rsid w:val="21FB1F5B"/>
    <w:rsid w:val="22310490"/>
    <w:rsid w:val="228CF6E4"/>
    <w:rsid w:val="22A8E6C1"/>
    <w:rsid w:val="22D1F9EA"/>
    <w:rsid w:val="230A8F87"/>
    <w:rsid w:val="234FE56E"/>
    <w:rsid w:val="23C83D1D"/>
    <w:rsid w:val="23CA2916"/>
    <w:rsid w:val="23CDF25E"/>
    <w:rsid w:val="23D632C3"/>
    <w:rsid w:val="2419CF59"/>
    <w:rsid w:val="247A7A0C"/>
    <w:rsid w:val="247D6D64"/>
    <w:rsid w:val="24CA358B"/>
    <w:rsid w:val="25C1D062"/>
    <w:rsid w:val="25EFFC22"/>
    <w:rsid w:val="25FDDBE5"/>
    <w:rsid w:val="261ACCE3"/>
    <w:rsid w:val="2645B573"/>
    <w:rsid w:val="26A0FEAA"/>
    <w:rsid w:val="26D961F6"/>
    <w:rsid w:val="27417515"/>
    <w:rsid w:val="275A59A9"/>
    <w:rsid w:val="279787CA"/>
    <w:rsid w:val="27B8B90C"/>
    <w:rsid w:val="27D09CC1"/>
    <w:rsid w:val="281CF700"/>
    <w:rsid w:val="289FD5C0"/>
    <w:rsid w:val="28E91FED"/>
    <w:rsid w:val="28F8CB92"/>
    <w:rsid w:val="292B24A1"/>
    <w:rsid w:val="293FDA0A"/>
    <w:rsid w:val="29537647"/>
    <w:rsid w:val="296ED665"/>
    <w:rsid w:val="2976AB75"/>
    <w:rsid w:val="2980A0A5"/>
    <w:rsid w:val="298F2638"/>
    <w:rsid w:val="29938D5C"/>
    <w:rsid w:val="29A910BE"/>
    <w:rsid w:val="29C581C6"/>
    <w:rsid w:val="29C85349"/>
    <w:rsid w:val="2A0619B1"/>
    <w:rsid w:val="2A0B96BE"/>
    <w:rsid w:val="2A1717E7"/>
    <w:rsid w:val="2A1DD7D3"/>
    <w:rsid w:val="2A6B056E"/>
    <w:rsid w:val="2AAD932B"/>
    <w:rsid w:val="2ABE71E1"/>
    <w:rsid w:val="2ACFC96B"/>
    <w:rsid w:val="2AFFB261"/>
    <w:rsid w:val="2B25A06A"/>
    <w:rsid w:val="2C0D63E0"/>
    <w:rsid w:val="2C44312A"/>
    <w:rsid w:val="2C4C923C"/>
    <w:rsid w:val="2C5C26DE"/>
    <w:rsid w:val="2C602DA2"/>
    <w:rsid w:val="2C926FC8"/>
    <w:rsid w:val="2CA8E921"/>
    <w:rsid w:val="2CBD5C90"/>
    <w:rsid w:val="2CF72990"/>
    <w:rsid w:val="2D358C0B"/>
    <w:rsid w:val="2DDD1E48"/>
    <w:rsid w:val="2DF890BD"/>
    <w:rsid w:val="2E0698AB"/>
    <w:rsid w:val="2E1798ED"/>
    <w:rsid w:val="2EBB8BFF"/>
    <w:rsid w:val="2F2AE153"/>
    <w:rsid w:val="2F3C4559"/>
    <w:rsid w:val="2FBA962A"/>
    <w:rsid w:val="2FFE5900"/>
    <w:rsid w:val="30184CBF"/>
    <w:rsid w:val="307BC6EB"/>
    <w:rsid w:val="3091B445"/>
    <w:rsid w:val="30B3A22C"/>
    <w:rsid w:val="30D068F9"/>
    <w:rsid w:val="30F30F9D"/>
    <w:rsid w:val="3108E6C6"/>
    <w:rsid w:val="31183EAB"/>
    <w:rsid w:val="31A1B12F"/>
    <w:rsid w:val="31D75E48"/>
    <w:rsid w:val="320D160F"/>
    <w:rsid w:val="320EB990"/>
    <w:rsid w:val="32AF8018"/>
    <w:rsid w:val="32F96943"/>
    <w:rsid w:val="3395A3B8"/>
    <w:rsid w:val="33F04CE2"/>
    <w:rsid w:val="342016FC"/>
    <w:rsid w:val="34263169"/>
    <w:rsid w:val="343AAC63"/>
    <w:rsid w:val="346CC185"/>
    <w:rsid w:val="3470C397"/>
    <w:rsid w:val="3482877A"/>
    <w:rsid w:val="34D724DC"/>
    <w:rsid w:val="3519E3DF"/>
    <w:rsid w:val="357F1CF5"/>
    <w:rsid w:val="359E50B0"/>
    <w:rsid w:val="35B8B8AA"/>
    <w:rsid w:val="35F365C1"/>
    <w:rsid w:val="36885E1C"/>
    <w:rsid w:val="368BE2CD"/>
    <w:rsid w:val="37409962"/>
    <w:rsid w:val="37EBC064"/>
    <w:rsid w:val="37F4E6F6"/>
    <w:rsid w:val="37FA5657"/>
    <w:rsid w:val="383328D8"/>
    <w:rsid w:val="384BDCB2"/>
    <w:rsid w:val="387C8863"/>
    <w:rsid w:val="38CA3845"/>
    <w:rsid w:val="38CB1AB5"/>
    <w:rsid w:val="38F5CC9E"/>
    <w:rsid w:val="390E3699"/>
    <w:rsid w:val="398FFB70"/>
    <w:rsid w:val="39A92680"/>
    <w:rsid w:val="39FB773A"/>
    <w:rsid w:val="3A6F93C3"/>
    <w:rsid w:val="3AAA18B5"/>
    <w:rsid w:val="3ABB52D4"/>
    <w:rsid w:val="3B050C2E"/>
    <w:rsid w:val="3B18D1F6"/>
    <w:rsid w:val="3B26B27D"/>
    <w:rsid w:val="3B2F6AEF"/>
    <w:rsid w:val="3B4000D8"/>
    <w:rsid w:val="3B8FB57C"/>
    <w:rsid w:val="3B97B32B"/>
    <w:rsid w:val="3C53896F"/>
    <w:rsid w:val="3C9CC30E"/>
    <w:rsid w:val="3C9E6740"/>
    <w:rsid w:val="3CA66AEA"/>
    <w:rsid w:val="3CED0BEE"/>
    <w:rsid w:val="3D012A3B"/>
    <w:rsid w:val="3D299F6D"/>
    <w:rsid w:val="3D6AA283"/>
    <w:rsid w:val="3D86E478"/>
    <w:rsid w:val="3DC57F2E"/>
    <w:rsid w:val="3DDC8A31"/>
    <w:rsid w:val="3E2CC525"/>
    <w:rsid w:val="3E2ED15D"/>
    <w:rsid w:val="3E7C6A40"/>
    <w:rsid w:val="3E81509C"/>
    <w:rsid w:val="3E997ECC"/>
    <w:rsid w:val="3EFBE7BB"/>
    <w:rsid w:val="3F65BA85"/>
    <w:rsid w:val="3F783294"/>
    <w:rsid w:val="3FB30667"/>
    <w:rsid w:val="3FD249EC"/>
    <w:rsid w:val="401050E6"/>
    <w:rsid w:val="403FEC2B"/>
    <w:rsid w:val="4072E8AD"/>
    <w:rsid w:val="40958446"/>
    <w:rsid w:val="40C7A412"/>
    <w:rsid w:val="40F7A2FD"/>
    <w:rsid w:val="40FC653A"/>
    <w:rsid w:val="41126D36"/>
    <w:rsid w:val="4115EDEA"/>
    <w:rsid w:val="414985CF"/>
    <w:rsid w:val="4166A4B8"/>
    <w:rsid w:val="41737A02"/>
    <w:rsid w:val="41971942"/>
    <w:rsid w:val="41D92455"/>
    <w:rsid w:val="423AEBEC"/>
    <w:rsid w:val="42523CF6"/>
    <w:rsid w:val="4259B6A7"/>
    <w:rsid w:val="4265C65C"/>
    <w:rsid w:val="4291E882"/>
    <w:rsid w:val="431986A8"/>
    <w:rsid w:val="431E110F"/>
    <w:rsid w:val="433988BB"/>
    <w:rsid w:val="43749AFB"/>
    <w:rsid w:val="43DD3272"/>
    <w:rsid w:val="43F6CDA3"/>
    <w:rsid w:val="4465205C"/>
    <w:rsid w:val="450FFC3A"/>
    <w:rsid w:val="456BA2C3"/>
    <w:rsid w:val="45D78835"/>
    <w:rsid w:val="461F8C8C"/>
    <w:rsid w:val="462E3243"/>
    <w:rsid w:val="46419C3A"/>
    <w:rsid w:val="46453AD2"/>
    <w:rsid w:val="46773539"/>
    <w:rsid w:val="46954493"/>
    <w:rsid w:val="469FB131"/>
    <w:rsid w:val="472B41B1"/>
    <w:rsid w:val="47318FA8"/>
    <w:rsid w:val="473999EA"/>
    <w:rsid w:val="475694FF"/>
    <w:rsid w:val="4795B443"/>
    <w:rsid w:val="47D02921"/>
    <w:rsid w:val="47EDD2C2"/>
    <w:rsid w:val="480B4799"/>
    <w:rsid w:val="482C7A4C"/>
    <w:rsid w:val="48810BC0"/>
    <w:rsid w:val="48991981"/>
    <w:rsid w:val="490923F9"/>
    <w:rsid w:val="492F9FC7"/>
    <w:rsid w:val="493003F0"/>
    <w:rsid w:val="4945D236"/>
    <w:rsid w:val="4A0E6429"/>
    <w:rsid w:val="4A10514D"/>
    <w:rsid w:val="4A2C60AB"/>
    <w:rsid w:val="4A7F359D"/>
    <w:rsid w:val="4A90B31E"/>
    <w:rsid w:val="4AB1804D"/>
    <w:rsid w:val="4AB7BBA9"/>
    <w:rsid w:val="4AD1641E"/>
    <w:rsid w:val="4AE3E478"/>
    <w:rsid w:val="4B452BE8"/>
    <w:rsid w:val="4BA31F01"/>
    <w:rsid w:val="4BDD137C"/>
    <w:rsid w:val="4C006480"/>
    <w:rsid w:val="4C2572E9"/>
    <w:rsid w:val="4C3B2345"/>
    <w:rsid w:val="4C8798F4"/>
    <w:rsid w:val="4CD6D707"/>
    <w:rsid w:val="4CDAB89B"/>
    <w:rsid w:val="4CDCA2EF"/>
    <w:rsid w:val="4D91E20B"/>
    <w:rsid w:val="4E1893C0"/>
    <w:rsid w:val="4E45BBFF"/>
    <w:rsid w:val="4E91D949"/>
    <w:rsid w:val="4E964936"/>
    <w:rsid w:val="4EBAF8AC"/>
    <w:rsid w:val="4EC84A3C"/>
    <w:rsid w:val="4EE6E6FC"/>
    <w:rsid w:val="4F04DEC6"/>
    <w:rsid w:val="4F3120C2"/>
    <w:rsid w:val="4F3DAC8B"/>
    <w:rsid w:val="4F4835EB"/>
    <w:rsid w:val="4F4FF57A"/>
    <w:rsid w:val="4F8B06A8"/>
    <w:rsid w:val="4FA597ED"/>
    <w:rsid w:val="4FA6BEF1"/>
    <w:rsid w:val="4FB01434"/>
    <w:rsid w:val="4FB4372A"/>
    <w:rsid w:val="4FB9D6C9"/>
    <w:rsid w:val="4FC9060F"/>
    <w:rsid w:val="4FEB75BF"/>
    <w:rsid w:val="4FEBBFC8"/>
    <w:rsid w:val="4FF66925"/>
    <w:rsid w:val="4FFCC175"/>
    <w:rsid w:val="5042D617"/>
    <w:rsid w:val="505D2B84"/>
    <w:rsid w:val="507FE4C6"/>
    <w:rsid w:val="5089BF5D"/>
    <w:rsid w:val="509274F0"/>
    <w:rsid w:val="50CB7AD4"/>
    <w:rsid w:val="50CF6F15"/>
    <w:rsid w:val="50E60CA6"/>
    <w:rsid w:val="50EFD5AC"/>
    <w:rsid w:val="50F0B7CB"/>
    <w:rsid w:val="510C0A37"/>
    <w:rsid w:val="51893FC3"/>
    <w:rsid w:val="519C8E86"/>
    <w:rsid w:val="51F5CD92"/>
    <w:rsid w:val="52050A0F"/>
    <w:rsid w:val="52163C65"/>
    <w:rsid w:val="523631EC"/>
    <w:rsid w:val="52C342E4"/>
    <w:rsid w:val="52D06579"/>
    <w:rsid w:val="52FEAAF0"/>
    <w:rsid w:val="53BB5C70"/>
    <w:rsid w:val="53ED454A"/>
    <w:rsid w:val="540B6241"/>
    <w:rsid w:val="5423C55B"/>
    <w:rsid w:val="542A420C"/>
    <w:rsid w:val="5453C72C"/>
    <w:rsid w:val="5473F118"/>
    <w:rsid w:val="54BAF459"/>
    <w:rsid w:val="54DAFEA1"/>
    <w:rsid w:val="54F33817"/>
    <w:rsid w:val="5500C43C"/>
    <w:rsid w:val="5511D704"/>
    <w:rsid w:val="55B0E194"/>
    <w:rsid w:val="55BDA21A"/>
    <w:rsid w:val="55D01EEA"/>
    <w:rsid w:val="55DF4699"/>
    <w:rsid w:val="5604D144"/>
    <w:rsid w:val="56241EDF"/>
    <w:rsid w:val="563C9CD1"/>
    <w:rsid w:val="563FD9A3"/>
    <w:rsid w:val="5656F976"/>
    <w:rsid w:val="56722B19"/>
    <w:rsid w:val="56811960"/>
    <w:rsid w:val="56B54DE9"/>
    <w:rsid w:val="56D3DC18"/>
    <w:rsid w:val="56D75DD8"/>
    <w:rsid w:val="5710B591"/>
    <w:rsid w:val="571C9D65"/>
    <w:rsid w:val="572146BF"/>
    <w:rsid w:val="573B52D1"/>
    <w:rsid w:val="5744A876"/>
    <w:rsid w:val="580BA95A"/>
    <w:rsid w:val="589F6FD7"/>
    <w:rsid w:val="58D3DA69"/>
    <w:rsid w:val="58DCE4E7"/>
    <w:rsid w:val="591F7DA2"/>
    <w:rsid w:val="5923AFFE"/>
    <w:rsid w:val="597EF991"/>
    <w:rsid w:val="59807D0B"/>
    <w:rsid w:val="5996B356"/>
    <w:rsid w:val="59E5DDA6"/>
    <w:rsid w:val="59E6F5F8"/>
    <w:rsid w:val="59EC683B"/>
    <w:rsid w:val="5A29D841"/>
    <w:rsid w:val="5A385ACD"/>
    <w:rsid w:val="5A5C029D"/>
    <w:rsid w:val="5AA6CEFA"/>
    <w:rsid w:val="5AACB7DF"/>
    <w:rsid w:val="5AF90F1D"/>
    <w:rsid w:val="5B50B201"/>
    <w:rsid w:val="5B666599"/>
    <w:rsid w:val="5B9811D5"/>
    <w:rsid w:val="5BB5462F"/>
    <w:rsid w:val="5BCAF9C0"/>
    <w:rsid w:val="5BD446B3"/>
    <w:rsid w:val="5BE89AB6"/>
    <w:rsid w:val="5C33AE2C"/>
    <w:rsid w:val="5C3EBDF0"/>
    <w:rsid w:val="5C6D18ED"/>
    <w:rsid w:val="5C8D8F60"/>
    <w:rsid w:val="5D1A52F9"/>
    <w:rsid w:val="5DADE15F"/>
    <w:rsid w:val="5DE65A23"/>
    <w:rsid w:val="5E220651"/>
    <w:rsid w:val="5E35E51D"/>
    <w:rsid w:val="5E491814"/>
    <w:rsid w:val="5EAFA9EA"/>
    <w:rsid w:val="5ECDC49D"/>
    <w:rsid w:val="5F129C46"/>
    <w:rsid w:val="5F16A622"/>
    <w:rsid w:val="5F18AD4F"/>
    <w:rsid w:val="5F46E332"/>
    <w:rsid w:val="5F4A0F54"/>
    <w:rsid w:val="5F923F7D"/>
    <w:rsid w:val="607FBAF0"/>
    <w:rsid w:val="60EBDB5B"/>
    <w:rsid w:val="610847F0"/>
    <w:rsid w:val="614043B9"/>
    <w:rsid w:val="61499C0C"/>
    <w:rsid w:val="614B701D"/>
    <w:rsid w:val="614DB83A"/>
    <w:rsid w:val="614F8D6C"/>
    <w:rsid w:val="6169C1EC"/>
    <w:rsid w:val="61A9065D"/>
    <w:rsid w:val="622A80C3"/>
    <w:rsid w:val="6273C20E"/>
    <w:rsid w:val="62B444D5"/>
    <w:rsid w:val="62D6FC6B"/>
    <w:rsid w:val="63059FEE"/>
    <w:rsid w:val="63382502"/>
    <w:rsid w:val="63631226"/>
    <w:rsid w:val="63844357"/>
    <w:rsid w:val="639CB4DF"/>
    <w:rsid w:val="63F25090"/>
    <w:rsid w:val="640EDD64"/>
    <w:rsid w:val="641E6D0C"/>
    <w:rsid w:val="642DFBEB"/>
    <w:rsid w:val="64304DF5"/>
    <w:rsid w:val="64343017"/>
    <w:rsid w:val="6435600E"/>
    <w:rsid w:val="646FF8F3"/>
    <w:rsid w:val="649A7B4F"/>
    <w:rsid w:val="649C01C6"/>
    <w:rsid w:val="64A5202C"/>
    <w:rsid w:val="650247EE"/>
    <w:rsid w:val="6503FD66"/>
    <w:rsid w:val="65078529"/>
    <w:rsid w:val="655E0957"/>
    <w:rsid w:val="65BA5CF9"/>
    <w:rsid w:val="65F5A545"/>
    <w:rsid w:val="678C5F80"/>
    <w:rsid w:val="67C9EF59"/>
    <w:rsid w:val="67FBA18A"/>
    <w:rsid w:val="6882CDFE"/>
    <w:rsid w:val="688E62D2"/>
    <w:rsid w:val="68BA4435"/>
    <w:rsid w:val="68DF5006"/>
    <w:rsid w:val="68E37E48"/>
    <w:rsid w:val="6920F791"/>
    <w:rsid w:val="6951225B"/>
    <w:rsid w:val="695155D9"/>
    <w:rsid w:val="696F4F2A"/>
    <w:rsid w:val="69717C90"/>
    <w:rsid w:val="698BD81F"/>
    <w:rsid w:val="69A28606"/>
    <w:rsid w:val="69A3F912"/>
    <w:rsid w:val="69F85B67"/>
    <w:rsid w:val="6A1A959D"/>
    <w:rsid w:val="6A65F8C0"/>
    <w:rsid w:val="6A981D83"/>
    <w:rsid w:val="6AB698A6"/>
    <w:rsid w:val="6B1D586C"/>
    <w:rsid w:val="6B737FC1"/>
    <w:rsid w:val="6B74B298"/>
    <w:rsid w:val="6B79E82B"/>
    <w:rsid w:val="6B8D4F18"/>
    <w:rsid w:val="6B90BC79"/>
    <w:rsid w:val="6C0A69D6"/>
    <w:rsid w:val="6C189CA3"/>
    <w:rsid w:val="6C2539FA"/>
    <w:rsid w:val="6C36D2CF"/>
    <w:rsid w:val="6C43B27F"/>
    <w:rsid w:val="6C47A2E4"/>
    <w:rsid w:val="6C6349F7"/>
    <w:rsid w:val="6C919364"/>
    <w:rsid w:val="6C9CA287"/>
    <w:rsid w:val="6CA7B734"/>
    <w:rsid w:val="6CABB1A1"/>
    <w:rsid w:val="6D21211A"/>
    <w:rsid w:val="6D42407F"/>
    <w:rsid w:val="6D9D2061"/>
    <w:rsid w:val="6DDF9780"/>
    <w:rsid w:val="6DEAC32C"/>
    <w:rsid w:val="6E1158A1"/>
    <w:rsid w:val="6E2F24C0"/>
    <w:rsid w:val="6E54FFA2"/>
    <w:rsid w:val="6F1CA13F"/>
    <w:rsid w:val="6F9DC1BF"/>
    <w:rsid w:val="6FC27820"/>
    <w:rsid w:val="6FD5E67E"/>
    <w:rsid w:val="6FF6CFF4"/>
    <w:rsid w:val="7064C478"/>
    <w:rsid w:val="7095624F"/>
    <w:rsid w:val="70A51263"/>
    <w:rsid w:val="70F43439"/>
    <w:rsid w:val="71DA2D69"/>
    <w:rsid w:val="71E47A86"/>
    <w:rsid w:val="71EBD282"/>
    <w:rsid w:val="71ED4FAA"/>
    <w:rsid w:val="72031A4E"/>
    <w:rsid w:val="721D48F1"/>
    <w:rsid w:val="7257C2E5"/>
    <w:rsid w:val="726186ED"/>
    <w:rsid w:val="726F5F90"/>
    <w:rsid w:val="7273467C"/>
    <w:rsid w:val="73266315"/>
    <w:rsid w:val="7393D634"/>
    <w:rsid w:val="73AA6F57"/>
    <w:rsid w:val="74143CD0"/>
    <w:rsid w:val="7449B316"/>
    <w:rsid w:val="745CED63"/>
    <w:rsid w:val="74A0CD6D"/>
    <w:rsid w:val="751E8A24"/>
    <w:rsid w:val="75806D1C"/>
    <w:rsid w:val="7595A0A4"/>
    <w:rsid w:val="75C28D6A"/>
    <w:rsid w:val="75D6DD00"/>
    <w:rsid w:val="7673379A"/>
    <w:rsid w:val="76830C0A"/>
    <w:rsid w:val="76F2C04C"/>
    <w:rsid w:val="77951F91"/>
    <w:rsid w:val="7798CE72"/>
    <w:rsid w:val="779EA3EB"/>
    <w:rsid w:val="779FA338"/>
    <w:rsid w:val="77AC0261"/>
    <w:rsid w:val="780E8FCE"/>
    <w:rsid w:val="781115E7"/>
    <w:rsid w:val="78305FFE"/>
    <w:rsid w:val="78707083"/>
    <w:rsid w:val="7902D35E"/>
    <w:rsid w:val="792D6B93"/>
    <w:rsid w:val="79433361"/>
    <w:rsid w:val="79544A9D"/>
    <w:rsid w:val="796181AA"/>
    <w:rsid w:val="7961F57E"/>
    <w:rsid w:val="796593AB"/>
    <w:rsid w:val="79CD3530"/>
    <w:rsid w:val="79E9654E"/>
    <w:rsid w:val="7A5532DC"/>
    <w:rsid w:val="7A5DCEBE"/>
    <w:rsid w:val="7A659EAF"/>
    <w:rsid w:val="7A7864CB"/>
    <w:rsid w:val="7A9F8493"/>
    <w:rsid w:val="7AAA790D"/>
    <w:rsid w:val="7AC7ED47"/>
    <w:rsid w:val="7AD32091"/>
    <w:rsid w:val="7AFB4E0E"/>
    <w:rsid w:val="7B03087C"/>
    <w:rsid w:val="7BC39E86"/>
    <w:rsid w:val="7C323EA8"/>
    <w:rsid w:val="7CB4C0E1"/>
    <w:rsid w:val="7CD81BC3"/>
    <w:rsid w:val="7CF7A1D9"/>
    <w:rsid w:val="7D2F1B62"/>
    <w:rsid w:val="7D33B035"/>
    <w:rsid w:val="7D37413D"/>
    <w:rsid w:val="7D52BCE1"/>
    <w:rsid w:val="7D9B9E0C"/>
    <w:rsid w:val="7DD43D8B"/>
    <w:rsid w:val="7E22C793"/>
    <w:rsid w:val="7E52EE74"/>
    <w:rsid w:val="7E775871"/>
    <w:rsid w:val="7E96F5BC"/>
    <w:rsid w:val="7E9AAD77"/>
    <w:rsid w:val="7EAAAB59"/>
    <w:rsid w:val="7EDC5ECD"/>
    <w:rsid w:val="7EDF9FA1"/>
    <w:rsid w:val="7F700641"/>
    <w:rsid w:val="7FB68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83D5"/>
  <w15:docId w15:val="{C2F75481-E59E-49C7-BB29-21D263AF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CFA"/>
    <w:pPr>
      <w:ind w:left="720"/>
      <w:contextualSpacing/>
    </w:pPr>
  </w:style>
  <w:style w:type="paragraph" w:styleId="BalloonText">
    <w:name w:val="Balloon Text"/>
    <w:basedOn w:val="Normal"/>
    <w:link w:val="BalloonTextChar"/>
    <w:uiPriority w:val="99"/>
    <w:semiHidden/>
    <w:unhideWhenUsed/>
    <w:rsid w:val="003A32D9"/>
    <w:rPr>
      <w:rFonts w:ascii="Tahoma" w:hAnsi="Tahoma" w:cs="Tahoma"/>
      <w:sz w:val="16"/>
      <w:szCs w:val="16"/>
    </w:rPr>
  </w:style>
  <w:style w:type="character" w:customStyle="1" w:styleId="BalloonTextChar">
    <w:name w:val="Balloon Text Char"/>
    <w:basedOn w:val="DefaultParagraphFont"/>
    <w:link w:val="BalloonText"/>
    <w:uiPriority w:val="99"/>
    <w:semiHidden/>
    <w:rsid w:val="003A32D9"/>
    <w:rPr>
      <w:rFonts w:ascii="Tahoma" w:hAnsi="Tahoma" w:cs="Tahoma"/>
      <w:sz w:val="16"/>
      <w:szCs w:val="16"/>
    </w:rPr>
  </w:style>
  <w:style w:type="character" w:styleId="Hyperlink">
    <w:name w:val="Hyperlink"/>
    <w:basedOn w:val="DefaultParagraphFont"/>
    <w:uiPriority w:val="99"/>
    <w:semiHidden/>
    <w:unhideWhenUsed/>
    <w:rsid w:val="0048643D"/>
    <w:rPr>
      <w:color w:val="0000FF"/>
      <w:u w:val="single"/>
    </w:rPr>
  </w:style>
  <w:style w:type="character" w:styleId="FollowedHyperlink">
    <w:name w:val="FollowedHyperlink"/>
    <w:basedOn w:val="DefaultParagraphFont"/>
    <w:uiPriority w:val="99"/>
    <w:semiHidden/>
    <w:unhideWhenUsed/>
    <w:rsid w:val="0048643D"/>
    <w:rPr>
      <w:color w:val="800080" w:themeColor="followedHyperlink"/>
      <w:u w:val="single"/>
    </w:rPr>
  </w:style>
  <w:style w:type="table" w:styleId="TableGrid">
    <w:name w:val="Table Grid"/>
    <w:basedOn w:val="TableNormal"/>
    <w:uiPriority w:val="59"/>
    <w:rsid w:val="0019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4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3374"/>
    <w:rPr>
      <w:sz w:val="16"/>
      <w:szCs w:val="16"/>
    </w:rPr>
  </w:style>
  <w:style w:type="paragraph" w:styleId="CommentText">
    <w:name w:val="annotation text"/>
    <w:basedOn w:val="Normal"/>
    <w:link w:val="CommentTextChar"/>
    <w:uiPriority w:val="99"/>
    <w:semiHidden/>
    <w:unhideWhenUsed/>
    <w:rsid w:val="00A83374"/>
    <w:rPr>
      <w:sz w:val="20"/>
      <w:szCs w:val="20"/>
    </w:rPr>
  </w:style>
  <w:style w:type="character" w:customStyle="1" w:styleId="CommentTextChar">
    <w:name w:val="Comment Text Char"/>
    <w:basedOn w:val="DefaultParagraphFont"/>
    <w:link w:val="CommentText"/>
    <w:uiPriority w:val="99"/>
    <w:semiHidden/>
    <w:rsid w:val="00A83374"/>
    <w:rPr>
      <w:sz w:val="20"/>
      <w:szCs w:val="20"/>
    </w:rPr>
  </w:style>
  <w:style w:type="paragraph" w:styleId="CommentSubject">
    <w:name w:val="annotation subject"/>
    <w:basedOn w:val="CommentText"/>
    <w:next w:val="CommentText"/>
    <w:link w:val="CommentSubjectChar"/>
    <w:uiPriority w:val="99"/>
    <w:semiHidden/>
    <w:unhideWhenUsed/>
    <w:rsid w:val="00A83374"/>
    <w:rPr>
      <w:b/>
      <w:bCs/>
    </w:rPr>
  </w:style>
  <w:style w:type="character" w:customStyle="1" w:styleId="CommentSubjectChar">
    <w:name w:val="Comment Subject Char"/>
    <w:basedOn w:val="CommentTextChar"/>
    <w:link w:val="CommentSubject"/>
    <w:uiPriority w:val="99"/>
    <w:semiHidden/>
    <w:rsid w:val="00A83374"/>
    <w:rPr>
      <w:b/>
      <w:bCs/>
      <w:sz w:val="20"/>
      <w:szCs w:val="20"/>
    </w:rPr>
  </w:style>
  <w:style w:type="paragraph" w:customStyle="1" w:styleId="Default">
    <w:name w:val="Default"/>
    <w:rsid w:val="00206A16"/>
    <w:pPr>
      <w:autoSpaceDE w:val="0"/>
      <w:autoSpaceDN w:val="0"/>
      <w:adjustRightInd w:val="0"/>
    </w:pPr>
    <w:rPr>
      <w:color w:val="000000"/>
    </w:rPr>
  </w:style>
  <w:style w:type="paragraph" w:styleId="NoSpacing">
    <w:name w:val="No Spacing"/>
    <w:uiPriority w:val="1"/>
    <w:qFormat/>
    <w:rsid w:val="009003B3"/>
  </w:style>
  <w:style w:type="table" w:styleId="GridTable2-Accent1">
    <w:name w:val="Grid Table 2 Accent 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871">
      <w:bodyDiv w:val="1"/>
      <w:marLeft w:val="0"/>
      <w:marRight w:val="0"/>
      <w:marTop w:val="0"/>
      <w:marBottom w:val="0"/>
      <w:divBdr>
        <w:top w:val="none" w:sz="0" w:space="0" w:color="auto"/>
        <w:left w:val="none" w:sz="0" w:space="0" w:color="auto"/>
        <w:bottom w:val="none" w:sz="0" w:space="0" w:color="auto"/>
        <w:right w:val="none" w:sz="0" w:space="0" w:color="auto"/>
      </w:divBdr>
    </w:div>
    <w:div w:id="112555514">
      <w:bodyDiv w:val="1"/>
      <w:marLeft w:val="0"/>
      <w:marRight w:val="0"/>
      <w:marTop w:val="0"/>
      <w:marBottom w:val="0"/>
      <w:divBdr>
        <w:top w:val="none" w:sz="0" w:space="0" w:color="auto"/>
        <w:left w:val="none" w:sz="0" w:space="0" w:color="auto"/>
        <w:bottom w:val="none" w:sz="0" w:space="0" w:color="auto"/>
        <w:right w:val="none" w:sz="0" w:space="0" w:color="auto"/>
      </w:divBdr>
    </w:div>
    <w:div w:id="176620176">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83736842">
      <w:bodyDiv w:val="1"/>
      <w:marLeft w:val="0"/>
      <w:marRight w:val="0"/>
      <w:marTop w:val="0"/>
      <w:marBottom w:val="0"/>
      <w:divBdr>
        <w:top w:val="none" w:sz="0" w:space="0" w:color="auto"/>
        <w:left w:val="none" w:sz="0" w:space="0" w:color="auto"/>
        <w:bottom w:val="none" w:sz="0" w:space="0" w:color="auto"/>
        <w:right w:val="none" w:sz="0" w:space="0" w:color="auto"/>
      </w:divBdr>
    </w:div>
    <w:div w:id="662125426">
      <w:bodyDiv w:val="1"/>
      <w:marLeft w:val="0"/>
      <w:marRight w:val="0"/>
      <w:marTop w:val="0"/>
      <w:marBottom w:val="0"/>
      <w:divBdr>
        <w:top w:val="none" w:sz="0" w:space="0" w:color="auto"/>
        <w:left w:val="none" w:sz="0" w:space="0" w:color="auto"/>
        <w:bottom w:val="none" w:sz="0" w:space="0" w:color="auto"/>
        <w:right w:val="none" w:sz="0" w:space="0" w:color="auto"/>
      </w:divBdr>
    </w:div>
    <w:div w:id="760754875">
      <w:bodyDiv w:val="1"/>
      <w:marLeft w:val="0"/>
      <w:marRight w:val="0"/>
      <w:marTop w:val="0"/>
      <w:marBottom w:val="0"/>
      <w:divBdr>
        <w:top w:val="none" w:sz="0" w:space="0" w:color="auto"/>
        <w:left w:val="none" w:sz="0" w:space="0" w:color="auto"/>
        <w:bottom w:val="none" w:sz="0" w:space="0" w:color="auto"/>
        <w:right w:val="none" w:sz="0" w:space="0" w:color="auto"/>
      </w:divBdr>
    </w:div>
    <w:div w:id="878322770">
      <w:bodyDiv w:val="1"/>
      <w:marLeft w:val="0"/>
      <w:marRight w:val="0"/>
      <w:marTop w:val="0"/>
      <w:marBottom w:val="0"/>
      <w:divBdr>
        <w:top w:val="none" w:sz="0" w:space="0" w:color="auto"/>
        <w:left w:val="none" w:sz="0" w:space="0" w:color="auto"/>
        <w:bottom w:val="none" w:sz="0" w:space="0" w:color="auto"/>
        <w:right w:val="none" w:sz="0" w:space="0" w:color="auto"/>
      </w:divBdr>
    </w:div>
    <w:div w:id="883903991">
      <w:bodyDiv w:val="1"/>
      <w:marLeft w:val="0"/>
      <w:marRight w:val="0"/>
      <w:marTop w:val="0"/>
      <w:marBottom w:val="0"/>
      <w:divBdr>
        <w:top w:val="none" w:sz="0" w:space="0" w:color="auto"/>
        <w:left w:val="none" w:sz="0" w:space="0" w:color="auto"/>
        <w:bottom w:val="none" w:sz="0" w:space="0" w:color="auto"/>
        <w:right w:val="none" w:sz="0" w:space="0" w:color="auto"/>
      </w:divBdr>
    </w:div>
    <w:div w:id="1010373803">
      <w:bodyDiv w:val="1"/>
      <w:marLeft w:val="0"/>
      <w:marRight w:val="0"/>
      <w:marTop w:val="0"/>
      <w:marBottom w:val="0"/>
      <w:divBdr>
        <w:top w:val="none" w:sz="0" w:space="0" w:color="auto"/>
        <w:left w:val="none" w:sz="0" w:space="0" w:color="auto"/>
        <w:bottom w:val="none" w:sz="0" w:space="0" w:color="auto"/>
        <w:right w:val="none" w:sz="0" w:space="0" w:color="auto"/>
      </w:divBdr>
    </w:div>
    <w:div w:id="1111784457">
      <w:bodyDiv w:val="1"/>
      <w:marLeft w:val="0"/>
      <w:marRight w:val="0"/>
      <w:marTop w:val="0"/>
      <w:marBottom w:val="0"/>
      <w:divBdr>
        <w:top w:val="none" w:sz="0" w:space="0" w:color="auto"/>
        <w:left w:val="none" w:sz="0" w:space="0" w:color="auto"/>
        <w:bottom w:val="none" w:sz="0" w:space="0" w:color="auto"/>
        <w:right w:val="none" w:sz="0" w:space="0" w:color="auto"/>
      </w:divBdr>
    </w:div>
    <w:div w:id="1213274495">
      <w:bodyDiv w:val="1"/>
      <w:marLeft w:val="0"/>
      <w:marRight w:val="0"/>
      <w:marTop w:val="0"/>
      <w:marBottom w:val="0"/>
      <w:divBdr>
        <w:top w:val="none" w:sz="0" w:space="0" w:color="auto"/>
        <w:left w:val="none" w:sz="0" w:space="0" w:color="auto"/>
        <w:bottom w:val="none" w:sz="0" w:space="0" w:color="auto"/>
        <w:right w:val="none" w:sz="0" w:space="0" w:color="auto"/>
      </w:divBdr>
    </w:div>
    <w:div w:id="1219127209">
      <w:bodyDiv w:val="1"/>
      <w:marLeft w:val="0"/>
      <w:marRight w:val="0"/>
      <w:marTop w:val="0"/>
      <w:marBottom w:val="0"/>
      <w:divBdr>
        <w:top w:val="none" w:sz="0" w:space="0" w:color="auto"/>
        <w:left w:val="none" w:sz="0" w:space="0" w:color="auto"/>
        <w:bottom w:val="none" w:sz="0" w:space="0" w:color="auto"/>
        <w:right w:val="none" w:sz="0" w:space="0" w:color="auto"/>
      </w:divBdr>
    </w:div>
    <w:div w:id="1363894525">
      <w:bodyDiv w:val="1"/>
      <w:marLeft w:val="0"/>
      <w:marRight w:val="0"/>
      <w:marTop w:val="0"/>
      <w:marBottom w:val="0"/>
      <w:divBdr>
        <w:top w:val="none" w:sz="0" w:space="0" w:color="auto"/>
        <w:left w:val="none" w:sz="0" w:space="0" w:color="auto"/>
        <w:bottom w:val="none" w:sz="0" w:space="0" w:color="auto"/>
        <w:right w:val="none" w:sz="0" w:space="0" w:color="auto"/>
      </w:divBdr>
    </w:div>
    <w:div w:id="1987542427">
      <w:bodyDiv w:val="1"/>
      <w:marLeft w:val="0"/>
      <w:marRight w:val="0"/>
      <w:marTop w:val="0"/>
      <w:marBottom w:val="0"/>
      <w:divBdr>
        <w:top w:val="none" w:sz="0" w:space="0" w:color="auto"/>
        <w:left w:val="none" w:sz="0" w:space="0" w:color="auto"/>
        <w:bottom w:val="none" w:sz="0" w:space="0" w:color="auto"/>
        <w:right w:val="none" w:sz="0" w:space="0" w:color="auto"/>
      </w:divBdr>
    </w:div>
    <w:div w:id="2100172176">
      <w:bodyDiv w:val="1"/>
      <w:marLeft w:val="0"/>
      <w:marRight w:val="0"/>
      <w:marTop w:val="0"/>
      <w:marBottom w:val="0"/>
      <w:divBdr>
        <w:top w:val="none" w:sz="0" w:space="0" w:color="auto"/>
        <w:left w:val="none" w:sz="0" w:space="0" w:color="auto"/>
        <w:bottom w:val="none" w:sz="0" w:space="0" w:color="auto"/>
        <w:right w:val="none" w:sz="0" w:space="0" w:color="auto"/>
      </w:divBdr>
    </w:div>
    <w:div w:id="21244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F1EEB-BE01-40BB-A0FE-624E164B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1821</Words>
  <Characters>10385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tbandekar</dc:creator>
  <cp:lastModifiedBy>MALTON Jonathan</cp:lastModifiedBy>
  <cp:revision>2</cp:revision>
  <dcterms:created xsi:type="dcterms:W3CDTF">2025-01-21T11:45:00Z</dcterms:created>
  <dcterms:modified xsi:type="dcterms:W3CDTF">2025-01-21T11:45:00Z</dcterms:modified>
</cp:coreProperties>
</file>